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4089644"/>
        <w:docPartObj>
          <w:docPartGallery w:val="Cover Pages"/>
          <w:docPartUnique/>
        </w:docPartObj>
      </w:sdtPr>
      <w:sdtContent>
        <w:p w14:paraId="2DA9737F" w14:textId="582D6717" w:rsidR="00792FD5" w:rsidRDefault="00BE5A6C" w:rsidP="0050059F">
          <w:pPr>
            <w:rPr>
              <w:noProof/>
            </w:rPr>
          </w:pPr>
          <w:r>
            <w:rPr>
              <w:noProof/>
            </w:rPr>
            <mc:AlternateContent>
              <mc:Choice Requires="wps">
                <w:drawing>
                  <wp:anchor distT="0" distB="0" distL="114300" distR="114300" simplePos="0" relativeHeight="251699200" behindDoc="0" locked="0" layoutInCell="1" allowOverlap="1" wp14:anchorId="747CF77F" wp14:editId="3F56DC66">
                    <wp:simplePos x="0" y="0"/>
                    <wp:positionH relativeFrom="page">
                      <wp:align>right</wp:align>
                    </wp:positionH>
                    <wp:positionV relativeFrom="paragraph">
                      <wp:posOffset>-822960</wp:posOffset>
                    </wp:positionV>
                    <wp:extent cx="7724775" cy="1447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724775" cy="14478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466E7DF" w14:textId="36CF94E4" w:rsidR="00BE5A6C" w:rsidRPr="00BE5A6C" w:rsidRDefault="00BE5A6C" w:rsidP="00BE5A6C">
                                <w:pPr>
                                  <w:pStyle w:val="NoSpacing"/>
                                  <w:rPr>
                                    <w:b/>
                                    <w:bCs/>
                                    <w:color w:val="FFFFFF" w:themeColor="background1"/>
                                    <w:sz w:val="40"/>
                                    <w:szCs w:val="56"/>
                                  </w:rPr>
                                </w:pPr>
                                <w:r>
                                  <w:rPr>
                                    <w:noProof/>
                                  </w:rPr>
                                  <w:drawing>
                                    <wp:inline distT="0" distB="0" distL="0" distR="0" wp14:anchorId="548FCDC3" wp14:editId="2BD59100">
                                      <wp:extent cx="1990725" cy="771696"/>
                                      <wp:effectExtent l="0" t="0" r="0" b="9525"/>
                                      <wp:docPr id="5" name="Picture 5"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03108" cy="776496"/>
                                              </a:xfrm>
                                              <a:prstGeom prst="rect">
                                                <a:avLst/>
                                              </a:prstGeom>
                                            </pic:spPr>
                                          </pic:pic>
                                        </a:graphicData>
                                      </a:graphic>
                                    </wp:inline>
                                  </w:drawing>
                                </w:r>
                                <w:r w:rsidRPr="00BE5A6C">
                                  <w:rPr>
                                    <w:b/>
                                    <w:bCs/>
                                    <w:color w:val="FFFFFF" w:themeColor="background1"/>
                                    <w:sz w:val="40"/>
                                    <w:szCs w:val="56"/>
                                  </w:rPr>
                                  <w:t xml:space="preserve">2024-2028 Colorado State Perkins Plan </w:t>
                                </w:r>
                              </w:p>
                              <w:p w14:paraId="368928E7" w14:textId="12517635" w:rsidR="00BE5A6C" w:rsidRPr="00BE5A6C" w:rsidRDefault="00BE5A6C" w:rsidP="00BE5A6C">
                                <w:pPr>
                                  <w:pStyle w:val="NoSpacing"/>
                                  <w:rPr>
                                    <w:b/>
                                    <w:bCs/>
                                    <w:color w:val="FFFFFF" w:themeColor="background1"/>
                                    <w:sz w:val="40"/>
                                    <w:szCs w:val="56"/>
                                  </w:rPr>
                                </w:pPr>
                                <w:r>
                                  <w:rPr>
                                    <w:b/>
                                    <w:bCs/>
                                    <w:color w:val="FFFFFF" w:themeColor="background1"/>
                                    <w:sz w:val="40"/>
                                    <w:szCs w:val="56"/>
                                  </w:rPr>
                                  <w:t xml:space="preserve">                                         </w:t>
                                </w:r>
                                <w:r w:rsidRPr="00BE5A6C">
                                  <w:rPr>
                                    <w:b/>
                                    <w:bCs/>
                                    <w:color w:val="FFFFFF" w:themeColor="background1"/>
                                    <w:sz w:val="40"/>
                                    <w:szCs w:val="56"/>
                                  </w:rPr>
                                  <w:t xml:space="preserve">Executive Summary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CF77F" id="Rectangle 3" o:spid="_x0000_s1026" style="position:absolute;margin-left:557.05pt;margin-top:-64.8pt;width:608.25pt;height:114pt;z-index:25169920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" fillcolor="#009aa6 [3205]" strokecolor="#004c52 [1605]" strokeweight="2pt">
                    <v:textbox>
                      <w:txbxContent>
                        <w:p w14:paraId="3466E7DF" w14:textId="36CF94E4" w:rsidR="00BE5A6C" w:rsidRPr="00BE5A6C" w:rsidRDefault="00BE5A6C" w:rsidP="00BE5A6C">
                          <w:pPr>
                            <w:pStyle w:val="NoSpacing"/>
                            <w:rPr>
                              <w:b/>
                              <w:bCs/>
                              <w:color w:val="FFFFFF" w:themeColor="background1"/>
                              <w:sz w:val="40"/>
                              <w:szCs w:val="56"/>
                            </w:rPr>
                          </w:pPr>
                          <w:r>
                            <w:rPr>
                              <w:noProof/>
                            </w:rPr>
                            <w:drawing>
                              <wp:inline distT="0" distB="0" distL="0" distR="0" wp14:anchorId="548FCDC3" wp14:editId="2BD59100">
                                <wp:extent cx="1990725" cy="771696"/>
                                <wp:effectExtent l="0" t="0" r="0" b="9525"/>
                                <wp:docPr id="5" name="Picture 5"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03108" cy="776496"/>
                                        </a:xfrm>
                                        <a:prstGeom prst="rect">
                                          <a:avLst/>
                                        </a:prstGeom>
                                      </pic:spPr>
                                    </pic:pic>
                                  </a:graphicData>
                                </a:graphic>
                              </wp:inline>
                            </w:drawing>
                          </w:r>
                          <w:r w:rsidRPr="00BE5A6C">
                            <w:rPr>
                              <w:b/>
                              <w:bCs/>
                              <w:color w:val="FFFFFF" w:themeColor="background1"/>
                              <w:sz w:val="40"/>
                              <w:szCs w:val="56"/>
                            </w:rPr>
                            <w:t xml:space="preserve">2024-2028 Colorado State Perkins Plan </w:t>
                          </w:r>
                        </w:p>
                        <w:p w14:paraId="368928E7" w14:textId="12517635" w:rsidR="00BE5A6C" w:rsidRPr="00BE5A6C" w:rsidRDefault="00BE5A6C" w:rsidP="00BE5A6C">
                          <w:pPr>
                            <w:pStyle w:val="NoSpacing"/>
                            <w:rPr>
                              <w:b/>
                              <w:bCs/>
                              <w:color w:val="FFFFFF" w:themeColor="background1"/>
                              <w:sz w:val="40"/>
                              <w:szCs w:val="56"/>
                            </w:rPr>
                          </w:pPr>
                          <w:r>
                            <w:rPr>
                              <w:b/>
                              <w:bCs/>
                              <w:color w:val="FFFFFF" w:themeColor="background1"/>
                              <w:sz w:val="40"/>
                              <w:szCs w:val="56"/>
                            </w:rPr>
                            <w:t xml:space="preserve">                                         </w:t>
                          </w:r>
                          <w:r w:rsidRPr="00BE5A6C">
                            <w:rPr>
                              <w:b/>
                              <w:bCs/>
                              <w:color w:val="FFFFFF" w:themeColor="background1"/>
                              <w:sz w:val="40"/>
                              <w:szCs w:val="56"/>
                            </w:rPr>
                            <w:t xml:space="preserve">Executive Summary </w:t>
                          </w:r>
                        </w:p>
                      </w:txbxContent>
                    </v:textbox>
                    <w10:wrap anchorx="page"/>
                  </v:rect>
                </w:pict>
              </mc:Fallback>
            </mc:AlternateContent>
          </w:r>
        </w:p>
        <w:p w14:paraId="2BDAB170" w14:textId="5368024F" w:rsidR="00C56A1F" w:rsidRDefault="00000000" w:rsidP="00493B8A"/>
      </w:sdtContent>
    </w:sdt>
    <w:p w14:paraId="51AE87D2" w14:textId="4996C7E6" w:rsidR="003E09C8" w:rsidRDefault="003E09C8" w:rsidP="003E09C8">
      <w:pPr>
        <w:spacing w:line="276" w:lineRule="auto"/>
        <w:rPr>
          <w:rFonts w:ascii="Sonny Gothic Condensed Book" w:hAnsi="Sonny Gothic Condensed Book"/>
        </w:rPr>
      </w:pPr>
    </w:p>
    <w:p w14:paraId="4C5AF12F" w14:textId="15524932" w:rsidR="009B7AE2" w:rsidRDefault="00C71494" w:rsidP="00D250F7">
      <w:pPr>
        <w:spacing w:after="240" w:line="276" w:lineRule="auto"/>
        <w:jc w:val="both"/>
        <w:rPr>
          <w:rFonts w:cs="Open Sans"/>
        </w:rPr>
      </w:pPr>
      <w:r w:rsidRPr="00B44704">
        <w:rPr>
          <w:rFonts w:cs="Open Sans"/>
        </w:rPr>
        <w:t xml:space="preserve">The Carl D. Perkins Act was reauthorized by Congress as the Strengthening Career and Technical Education for the Twenty First Century Act (Perkins V). Perkins V </w:t>
      </w:r>
      <w:r w:rsidR="00D250F7" w:rsidRPr="00B44704">
        <w:rPr>
          <w:rFonts w:cs="Open Sans"/>
        </w:rPr>
        <w:t>went</w:t>
      </w:r>
      <w:r w:rsidRPr="00B44704">
        <w:rPr>
          <w:rFonts w:cs="Open Sans"/>
        </w:rPr>
        <w:t xml:space="preserve"> into effect July 1, 2019. Colorad</w:t>
      </w:r>
      <w:r w:rsidR="009B7AE2">
        <w:rPr>
          <w:rFonts w:cs="Open Sans"/>
        </w:rPr>
        <w:t>o’s State Plan expires June 30, 2024.  Although the federal guidance has not changed, Colorado has made significant progress toward its goals in the 2019-2024 plan and has decided to revise and update the State Perkins Plan based on the current workforce and education landscape in our state along with updated performance targets</w:t>
      </w:r>
      <w:r w:rsidRPr="00B44704">
        <w:rPr>
          <w:rFonts w:cs="Open Sans"/>
        </w:rPr>
        <w:t>.</w:t>
      </w:r>
      <w:r w:rsidR="007242C5" w:rsidRPr="00B44704">
        <w:rPr>
          <w:rFonts w:cs="Open Sans"/>
        </w:rPr>
        <w:t xml:space="preserve"> </w:t>
      </w:r>
    </w:p>
    <w:p w14:paraId="2808B963" w14:textId="1C322FA8" w:rsidR="00EF2A72" w:rsidRPr="00B44704" w:rsidRDefault="007242C5" w:rsidP="00D250F7">
      <w:pPr>
        <w:spacing w:after="240" w:line="276" w:lineRule="auto"/>
        <w:jc w:val="both"/>
        <w:rPr>
          <w:rFonts w:cs="Open Sans"/>
        </w:rPr>
      </w:pPr>
      <w:r w:rsidRPr="00B44704">
        <w:rPr>
          <w:rFonts w:cs="Open Sans"/>
        </w:rPr>
        <w:t>The Colorado State Board for Community Colleges and Occupational Education (SBCCOE) oversees all Career and Technical Education (CTE) programs for the State of Colorado.  The Colorado Community College System (CCCS) staff for the SBCCOE</w:t>
      </w:r>
      <w:r w:rsidR="00D250F7" w:rsidRPr="00B44704">
        <w:rPr>
          <w:rFonts w:cs="Open Sans"/>
        </w:rPr>
        <w:t xml:space="preserve"> </w:t>
      </w:r>
      <w:r w:rsidRPr="00B44704">
        <w:rPr>
          <w:rFonts w:cs="Open Sans"/>
        </w:rPr>
        <w:t xml:space="preserve">has provided leadership in the overall governance of program quality and teacher effectiveness.  The Board approves programs and disburses funding to programs at the secondary and postsecondary level. This unique oversight of both secondary and postsecondary level programs gives Colorado an integrated view of the CTE programs that school districts, technical colleges, and community colleges offer. </w:t>
      </w:r>
    </w:p>
    <w:p w14:paraId="2A0B724D" w14:textId="68192762" w:rsidR="007242C5" w:rsidRPr="00B44704" w:rsidRDefault="00D97386" w:rsidP="00D250F7">
      <w:pPr>
        <w:spacing w:after="240" w:line="276" w:lineRule="auto"/>
        <w:jc w:val="both"/>
        <w:rPr>
          <w:rFonts w:cs="Calibri"/>
        </w:rPr>
      </w:pPr>
      <w:r w:rsidRPr="00B44704">
        <w:rPr>
          <w:rFonts w:cs="Open Sans"/>
        </w:rPr>
        <w:t>Planning and development of the State Perkins Plan was an in-depth process involving partners and stakeholders from across the state representing broad diversity of education and workforce programs, agencies, and learners. The 4-step process below shows th</w:t>
      </w:r>
      <w:r w:rsidR="00EF2A72" w:rsidRPr="00B44704">
        <w:rPr>
          <w:rFonts w:cs="Open Sans"/>
        </w:rPr>
        <w:t xml:space="preserve">e significant activities that contributed to development of the State Perkins Plan. </w:t>
      </w:r>
    </w:p>
    <w:p w14:paraId="379EDEB9" w14:textId="64D341F6" w:rsidR="00EF2A72" w:rsidRPr="00B44704" w:rsidRDefault="00EF2A72" w:rsidP="00EF2A72">
      <w:pPr>
        <w:spacing w:after="240" w:line="276" w:lineRule="auto"/>
        <w:jc w:val="center"/>
        <w:rPr>
          <w:rFonts w:cs="Calibri"/>
        </w:rPr>
      </w:pPr>
      <w:r w:rsidRPr="00B44704">
        <w:rPr>
          <w:rFonts w:cs="Calibri"/>
          <w:noProof/>
        </w:rPr>
        <w:drawing>
          <wp:inline distT="0" distB="0" distL="0" distR="0" wp14:anchorId="179663A5" wp14:editId="3C595E35">
            <wp:extent cx="5943600" cy="246700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467006"/>
                    </a:xfrm>
                    <a:prstGeom prst="rect">
                      <a:avLst/>
                    </a:prstGeom>
                  </pic:spPr>
                </pic:pic>
              </a:graphicData>
            </a:graphic>
          </wp:inline>
        </w:drawing>
      </w:r>
    </w:p>
    <w:p w14:paraId="6F7333CC" w14:textId="51FDE4D9" w:rsidR="007242C5" w:rsidRDefault="00D97386" w:rsidP="00D250F7">
      <w:pPr>
        <w:spacing w:after="240" w:line="276" w:lineRule="auto"/>
        <w:jc w:val="both"/>
        <w:rPr>
          <w:rFonts w:cs="Open Sans"/>
        </w:rPr>
      </w:pPr>
      <w:r w:rsidRPr="00B44704">
        <w:rPr>
          <w:rFonts w:cs="Open Sans"/>
        </w:rPr>
        <w:t>As the State Eligible Agency (SEA), CCCS is responsible for distributing federal Perkins funds to Local Eligible Agencies (LEAs). LEAs may be eligible for state CTE and federal Perkins funds if they complete a Comprehensiv</w:t>
      </w:r>
      <w:r w:rsidR="00B44704">
        <w:rPr>
          <w:rFonts w:cs="Open Sans"/>
        </w:rPr>
        <w:t xml:space="preserve">e Local Needs Assessment (CLNA), </w:t>
      </w:r>
      <w:r w:rsidRPr="00B44704">
        <w:rPr>
          <w:rFonts w:cs="Open Sans"/>
        </w:rPr>
        <w:t xml:space="preserve">develop programs of study, </w:t>
      </w:r>
      <w:r w:rsidR="00B44704">
        <w:rPr>
          <w:rFonts w:cs="Open Sans"/>
        </w:rPr>
        <w:t xml:space="preserve">and </w:t>
      </w:r>
      <w:r w:rsidRPr="00B44704">
        <w:rPr>
          <w:rFonts w:cs="Open Sans"/>
        </w:rPr>
        <w:t>align</w:t>
      </w:r>
      <w:r w:rsidR="00B44704">
        <w:rPr>
          <w:rFonts w:cs="Open Sans"/>
        </w:rPr>
        <w:t xml:space="preserve"> CTE programs</w:t>
      </w:r>
      <w:r w:rsidRPr="00B44704">
        <w:rPr>
          <w:rFonts w:cs="Open Sans"/>
        </w:rPr>
        <w:t xml:space="preserve"> with local and regional workforce and economic needs, preparing secondary, postsecondary, and adult learners for high-skill, high-wage, or in-demand industries or occupation. </w:t>
      </w:r>
      <w:r w:rsidR="00EF2A72" w:rsidRPr="00B44704">
        <w:rPr>
          <w:rFonts w:cs="Open Sans"/>
        </w:rPr>
        <w:t xml:space="preserve">Local programs of study must be of sufficient size, scope, and quality in order to be approved to receive CTE and Perkins funds. CCCS </w:t>
      </w:r>
      <w:r w:rsidR="004E2358" w:rsidRPr="00B44704">
        <w:rPr>
          <w:rFonts w:cs="Open Sans"/>
        </w:rPr>
        <w:t xml:space="preserve">provides resources, guidance, and technical assistance to LEAs to support them in the development and implementation of their approved programs of study. </w:t>
      </w:r>
    </w:p>
    <w:p w14:paraId="26673BC8" w14:textId="076C028B" w:rsidR="005467CB" w:rsidRDefault="004B0AC7" w:rsidP="004B0AC7">
      <w:pPr>
        <w:spacing w:line="276" w:lineRule="auto"/>
        <w:ind w:left="3600"/>
        <w:jc w:val="both"/>
        <w:rPr>
          <w:rFonts w:cs="Open Sans"/>
        </w:rPr>
      </w:pPr>
      <w:r w:rsidRPr="00B44704">
        <w:rPr>
          <w:rFonts w:cs="Calibri"/>
          <w:noProof/>
        </w:rPr>
        <w:lastRenderedPageBreak/>
        <w:drawing>
          <wp:anchor distT="0" distB="0" distL="114300" distR="114300" simplePos="0" relativeHeight="251695104" behindDoc="0" locked="0" layoutInCell="1" allowOverlap="1" wp14:anchorId="6B7FEFE7" wp14:editId="2FC61922">
            <wp:simplePos x="0" y="0"/>
            <wp:positionH relativeFrom="margin">
              <wp:align>left</wp:align>
            </wp:positionH>
            <wp:positionV relativeFrom="paragraph">
              <wp:posOffset>1</wp:posOffset>
            </wp:positionV>
            <wp:extent cx="2171700" cy="2189798"/>
            <wp:effectExtent l="0" t="0" r="0" b="127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71700" cy="2189798"/>
                    </a:xfrm>
                    <a:prstGeom prst="rect">
                      <a:avLst/>
                    </a:prstGeom>
                  </pic:spPr>
                </pic:pic>
              </a:graphicData>
            </a:graphic>
            <wp14:sizeRelH relativeFrom="page">
              <wp14:pctWidth>0</wp14:pctWidth>
            </wp14:sizeRelH>
            <wp14:sizeRelV relativeFrom="page">
              <wp14:pctHeight>0</wp14:pctHeight>
            </wp14:sizeRelV>
          </wp:anchor>
        </w:drawing>
      </w:r>
      <w:r w:rsidR="005467CB" w:rsidRPr="00B44704">
        <w:rPr>
          <w:rFonts w:cs="Open Sans"/>
        </w:rPr>
        <w:t xml:space="preserve">Colorado Career and Technical Education (CTE) provides more than </w:t>
      </w:r>
      <w:r w:rsidR="00DF127F">
        <w:rPr>
          <w:rFonts w:cs="Open Sans"/>
        </w:rPr>
        <w:t>200,000</w:t>
      </w:r>
      <w:r w:rsidR="005467CB" w:rsidRPr="00B44704">
        <w:rPr>
          <w:rFonts w:cs="Open Sans"/>
        </w:rPr>
        <w:t xml:space="preserve"> Colorado </w:t>
      </w:r>
      <w:r w:rsidR="009B7AE2">
        <w:rPr>
          <w:rFonts w:cs="Open Sans"/>
        </w:rPr>
        <w:t>learners</w:t>
      </w:r>
      <w:r w:rsidR="005467CB" w:rsidRPr="00B44704">
        <w:rPr>
          <w:rFonts w:cs="Open Sans"/>
        </w:rPr>
        <w:t xml:space="preserve"> with the education they need to learn, earn, and live. The CTE system ensures a thriving Colorado economy by providing relevant and rigorous education that is connected, responsive and real. Collaborations with local, statewide, and national business and industry partners help to obtain insight directly from high-skill, high-wage, in-demand industries and occupations. CTE emphasizes academic content, postsecondary and workforce readiness competencies, and technical skills to assist learners in making a seamless transition to further education or employment. </w:t>
      </w:r>
    </w:p>
    <w:p w14:paraId="39BE1F50" w14:textId="42DDBBFA" w:rsidR="00700C74" w:rsidRDefault="00700C74" w:rsidP="00700C74">
      <w:pPr>
        <w:spacing w:line="276" w:lineRule="auto"/>
        <w:jc w:val="both"/>
        <w:rPr>
          <w:rFonts w:cs="Open Sans"/>
        </w:rPr>
      </w:pPr>
    </w:p>
    <w:p w14:paraId="0BDD6F25" w14:textId="0089FA0A" w:rsidR="003F2D43" w:rsidRDefault="009B7AE2" w:rsidP="003F2D43">
      <w:pPr>
        <w:pStyle w:val="NoSpacing"/>
        <w:rPr>
          <w:color w:val="009AA6" w:themeColor="text2"/>
        </w:rPr>
      </w:pPr>
      <w:r>
        <w:rPr>
          <w:rFonts w:asciiTheme="majorHAnsi" w:hAnsiTheme="majorHAnsi"/>
          <w:b/>
          <w:color w:val="009AA6" w:themeColor="text2"/>
          <w:sz w:val="32"/>
        </w:rPr>
        <w:t>2024-2028</w:t>
      </w:r>
      <w:r w:rsidR="003F2D43" w:rsidRPr="003F2D43">
        <w:rPr>
          <w:rFonts w:asciiTheme="majorHAnsi" w:hAnsiTheme="majorHAnsi"/>
          <w:b/>
          <w:color w:val="009AA6" w:themeColor="text2"/>
          <w:sz w:val="32"/>
        </w:rPr>
        <w:t xml:space="preserve"> Strategic CTE Goals</w:t>
      </w:r>
      <w:r w:rsidR="003F2D43">
        <w:rPr>
          <w:rFonts w:asciiTheme="majorHAnsi" w:hAnsiTheme="majorHAnsi"/>
          <w:b/>
          <w:color w:val="009AA6" w:themeColor="text2"/>
          <w:sz w:val="32"/>
        </w:rPr>
        <w:t xml:space="preserve"> Reflected in State Perkins Plan</w:t>
      </w:r>
    </w:p>
    <w:p w14:paraId="1889C588" w14:textId="30593BF3" w:rsidR="003F2D43" w:rsidRDefault="003F2D43" w:rsidP="003F2D43">
      <w:pPr>
        <w:pStyle w:val="NoSpacing"/>
        <w:rPr>
          <w:color w:val="009AA6" w:themeColor="text2"/>
        </w:rPr>
      </w:pPr>
      <w:r>
        <w:rPr>
          <w:noProof/>
        </w:rPr>
        <w:drawing>
          <wp:inline distT="0" distB="0" distL="0" distR="0" wp14:anchorId="3A90865A" wp14:editId="4DC7B90A">
            <wp:extent cx="6400800" cy="272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2727325"/>
                    </a:xfrm>
                    <a:prstGeom prst="rect">
                      <a:avLst/>
                    </a:prstGeom>
                  </pic:spPr>
                </pic:pic>
              </a:graphicData>
            </a:graphic>
          </wp:inline>
        </w:drawing>
      </w:r>
    </w:p>
    <w:p w14:paraId="6A5DA6D3" w14:textId="3C88BB90" w:rsidR="003F2D43" w:rsidRDefault="003F2D43" w:rsidP="003F2D43">
      <w:pPr>
        <w:pStyle w:val="NoSpacing"/>
        <w:rPr>
          <w:color w:val="auto"/>
        </w:rPr>
      </w:pPr>
      <w:r>
        <w:rPr>
          <w:color w:val="auto"/>
        </w:rPr>
        <w:t xml:space="preserve">These goals align and supplement other Colorado agency priorities, such as those of the Colorado Office of the Future of Work, the Colorado Department of Education and the Colorado Department of Higher Education master plans, and initiatives led by the Colorado Workforce Development Council such as the Talent Found Work-Based Learning Continuum and sector partnerships work. </w:t>
      </w:r>
    </w:p>
    <w:p w14:paraId="0FAA3B8A" w14:textId="0BE2AA5B" w:rsidR="003F2D43" w:rsidRPr="00955D94" w:rsidRDefault="003F2D43" w:rsidP="003F2D43">
      <w:pPr>
        <w:pStyle w:val="NoSpacing"/>
        <w:rPr>
          <w:color w:val="7AB800" w:themeColor="accent3"/>
        </w:rPr>
      </w:pPr>
      <w:r w:rsidRPr="008E4CB5">
        <w:rPr>
          <w:rFonts w:asciiTheme="majorHAnsi" w:hAnsiTheme="majorHAnsi"/>
          <w:b/>
          <w:color w:val="7AB800" w:themeColor="accent3"/>
          <w:sz w:val="32"/>
        </w:rPr>
        <w:t>Programs of Study</w:t>
      </w:r>
      <w:r w:rsidR="00955D94">
        <w:rPr>
          <w:color w:val="7AB800" w:themeColor="accent3"/>
        </w:rPr>
        <w:t xml:space="preserve"> </w:t>
      </w:r>
      <w:r>
        <w:rPr>
          <w:color w:val="auto"/>
        </w:rPr>
        <w:t xml:space="preserve">is a federal Perkins term that requires the opportunity for learners to have access to a roadmap of the on-roads and off-roads for a particular area of study to see what career options, industry recognized certifications, and coursework across the secondary and postsecondary system is available to them should they choose to pursue a particular pathway.  This requirement is unique to Perkins law, and builds on the pathways work referenced in the Workforce Innovation and Opportunity Act (WIOA).  </w:t>
      </w:r>
      <w:r w:rsidR="008E4CB5">
        <w:rPr>
          <w:color w:val="auto"/>
        </w:rPr>
        <w:t xml:space="preserve">The State Plan outlines how Colorado aligns middle level, high school, and postsecondary CTE programs to ensure all learners have access to complete programs of study.  Through the next </w:t>
      </w:r>
      <w:r w:rsidR="009B7AE2">
        <w:rPr>
          <w:color w:val="auto"/>
        </w:rPr>
        <w:t>four</w:t>
      </w:r>
      <w:r w:rsidR="008E4CB5">
        <w:rPr>
          <w:color w:val="auto"/>
        </w:rPr>
        <w:t xml:space="preserve"> years, CTE program quality will be a focus at all levels to meet </w:t>
      </w:r>
      <w:r w:rsidR="006353C7">
        <w:rPr>
          <w:color w:val="auto"/>
        </w:rPr>
        <w:t>the needs</w:t>
      </w:r>
      <w:r w:rsidR="008E4CB5">
        <w:rPr>
          <w:color w:val="auto"/>
        </w:rPr>
        <w:t xml:space="preserve"> of learners and our economy as CTE programs better prepare the current and future workforce.  Th</w:t>
      </w:r>
      <w:r w:rsidR="006353C7">
        <w:rPr>
          <w:color w:val="auto"/>
        </w:rPr>
        <w:t xml:space="preserve">e state plan </w:t>
      </w:r>
      <w:r w:rsidR="008E4CB5">
        <w:rPr>
          <w:color w:val="auto"/>
        </w:rPr>
        <w:t>discusses the details of the Colorado CTE delivery system</w:t>
      </w:r>
      <w:r w:rsidR="006353C7">
        <w:rPr>
          <w:color w:val="auto"/>
        </w:rPr>
        <w:t xml:space="preserve"> that serves more than 200,000 CTE learners.</w:t>
      </w:r>
    </w:p>
    <w:p w14:paraId="35441D41" w14:textId="77C77AC1" w:rsidR="008E4CB5" w:rsidRPr="009B7AE2" w:rsidRDefault="008E4CB5" w:rsidP="009B7AE2">
      <w:pPr>
        <w:pStyle w:val="NormalWeb"/>
        <w:spacing w:before="0" w:beforeAutospacing="0" w:after="0" w:afterAutospacing="0" w:line="276" w:lineRule="auto"/>
        <w:ind w:left="2880"/>
        <w:rPr>
          <w:rFonts w:asciiTheme="minorHAnsi" w:hAnsiTheme="minorHAnsi" w:cs="Open Sans"/>
          <w:sz w:val="21"/>
          <w:szCs w:val="21"/>
        </w:rPr>
      </w:pPr>
      <w:r w:rsidRPr="00D70D43">
        <w:rPr>
          <w:rFonts w:asciiTheme="minorHAnsi" w:hAnsiTheme="minorHAnsi"/>
          <w:b/>
          <w:bCs/>
          <w:noProof/>
          <w:color w:val="FF6D14" w:themeColor="accent1"/>
          <w:sz w:val="32"/>
        </w:rPr>
        <w:lastRenderedPageBreak/>
        <w:drawing>
          <wp:anchor distT="0" distB="0" distL="114300" distR="114300" simplePos="0" relativeHeight="251698176" behindDoc="0" locked="0" layoutInCell="1" allowOverlap="1" wp14:anchorId="11232733" wp14:editId="58B76BE5">
            <wp:simplePos x="0" y="0"/>
            <wp:positionH relativeFrom="margin">
              <wp:posOffset>64771</wp:posOffset>
            </wp:positionH>
            <wp:positionV relativeFrom="paragraph">
              <wp:posOffset>1905</wp:posOffset>
            </wp:positionV>
            <wp:extent cx="1654780" cy="1895475"/>
            <wp:effectExtent l="0" t="0" r="3175"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71815" cy="1914988"/>
                    </a:xfrm>
                    <a:prstGeom prst="rect">
                      <a:avLst/>
                    </a:prstGeom>
                  </pic:spPr>
                </pic:pic>
              </a:graphicData>
            </a:graphic>
            <wp14:sizeRelH relativeFrom="page">
              <wp14:pctWidth>0</wp14:pctWidth>
            </wp14:sizeRelH>
            <wp14:sizeRelV relativeFrom="page">
              <wp14:pctHeight>0</wp14:pctHeight>
            </wp14:sizeRelV>
          </wp:anchor>
        </w:drawing>
      </w:r>
      <w:r w:rsidRPr="00D70D43">
        <w:rPr>
          <w:rFonts w:asciiTheme="minorHAnsi" w:hAnsiTheme="minorHAnsi" w:cs="Open Sans"/>
          <w:b/>
          <w:bCs/>
          <w:color w:val="FF6D14" w:themeColor="accent1"/>
          <w:sz w:val="30"/>
          <w:szCs w:val="22"/>
        </w:rPr>
        <w:t>Special Populations</w:t>
      </w:r>
      <w:r w:rsidRPr="00D70D43">
        <w:rPr>
          <w:rFonts w:asciiTheme="minorHAnsi" w:hAnsiTheme="minorHAnsi" w:cs="Open Sans"/>
          <w:color w:val="FF6D14" w:themeColor="accent1"/>
          <w:sz w:val="30"/>
          <w:szCs w:val="22"/>
        </w:rPr>
        <w:t xml:space="preserve"> </w:t>
      </w:r>
      <w:r w:rsidRPr="009B7AE2">
        <w:rPr>
          <w:rFonts w:asciiTheme="minorHAnsi" w:hAnsiTheme="minorHAnsi" w:cs="Open Sans"/>
          <w:sz w:val="21"/>
          <w:szCs w:val="21"/>
        </w:rPr>
        <w:t>are discussed throughout the state plan as Colorado CTE discusses strategies to develop the academic knowledge and technical skills for special populations. Special populations, as defined by Perkins, are individuals with disabilities; individuals from economically disadvantaged families, including low-income youth and adults; individuals preparing for non-tradition field</w:t>
      </w:r>
      <w:r w:rsidR="009B7AE2" w:rsidRPr="009B7AE2">
        <w:rPr>
          <w:rFonts w:asciiTheme="minorHAnsi" w:hAnsiTheme="minorHAnsi" w:cs="Open Sans"/>
          <w:sz w:val="21"/>
          <w:szCs w:val="21"/>
        </w:rPr>
        <w:t>s (where they are preparing for an occupation where their gender is underrepresented)</w:t>
      </w:r>
      <w:r w:rsidRPr="009B7AE2">
        <w:rPr>
          <w:rFonts w:asciiTheme="minorHAnsi" w:hAnsiTheme="minorHAnsi" w:cs="Open Sans"/>
          <w:sz w:val="21"/>
          <w:szCs w:val="21"/>
        </w:rPr>
        <w:t>; single parents, including single pregnant women; unemployed individuals; English language learner; homeless individuals per the McKinney-Vento Homeless Assistance Act; youth who are in, or have aged out of the foster care system; and youth with a parent who is a member of the armed forces and is on active duty.</w:t>
      </w:r>
      <w:r w:rsidR="009B7AE2">
        <w:rPr>
          <w:rFonts w:asciiTheme="minorHAnsi" w:hAnsiTheme="minorHAnsi" w:cs="Open Sans"/>
          <w:sz w:val="21"/>
          <w:szCs w:val="21"/>
        </w:rPr>
        <w:t xml:space="preserve"> </w:t>
      </w:r>
      <w:r w:rsidRPr="009B7AE2">
        <w:rPr>
          <w:rFonts w:asciiTheme="minorHAnsi" w:hAnsiTheme="minorHAnsi" w:cs="Open Sans"/>
          <w:sz w:val="21"/>
          <w:szCs w:val="21"/>
        </w:rPr>
        <w:t>One way Colorado</w:t>
      </w:r>
      <w:r w:rsidR="009B7AE2">
        <w:rPr>
          <w:rFonts w:asciiTheme="minorHAnsi" w:hAnsiTheme="minorHAnsi" w:cs="Open Sans"/>
          <w:sz w:val="21"/>
          <w:szCs w:val="21"/>
        </w:rPr>
        <w:t xml:space="preserve"> </w:t>
      </w:r>
      <w:r w:rsidRPr="009B7AE2">
        <w:rPr>
          <w:rFonts w:asciiTheme="minorHAnsi" w:hAnsiTheme="minorHAnsi" w:cs="Open Sans"/>
          <w:sz w:val="21"/>
          <w:szCs w:val="21"/>
        </w:rPr>
        <w:t>provides access</w:t>
      </w:r>
      <w:r w:rsidR="009B7AE2" w:rsidRPr="009B7AE2">
        <w:rPr>
          <w:rFonts w:asciiTheme="minorHAnsi" w:hAnsiTheme="minorHAnsi" w:cs="Open Sans"/>
          <w:sz w:val="21"/>
          <w:szCs w:val="21"/>
        </w:rPr>
        <w:t xml:space="preserve"> </w:t>
      </w:r>
      <w:r w:rsidRPr="009B7AE2">
        <w:rPr>
          <w:rFonts w:asciiTheme="minorHAnsi" w:hAnsiTheme="minorHAnsi" w:cs="Open Sans"/>
          <w:sz w:val="21"/>
          <w:szCs w:val="21"/>
        </w:rPr>
        <w:t xml:space="preserve">for special populations to CTE programs is through Alternative Cooperative Education (ACE). ACE CTE is a multi-occupational pathway that facilitates individualized, developmentally appropriate programming necessary to support CTE students successfully. ACE CTE is inclusive of, but not limited to students identified as special populations. </w:t>
      </w:r>
    </w:p>
    <w:p w14:paraId="3F5FC6D6" w14:textId="585BDE73" w:rsidR="008E4CB5" w:rsidRDefault="008E4CB5" w:rsidP="008E4CB5">
      <w:pPr>
        <w:pStyle w:val="NormalWeb"/>
        <w:spacing w:before="0" w:beforeAutospacing="0" w:after="0" w:afterAutospacing="0" w:line="276" w:lineRule="auto"/>
        <w:rPr>
          <w:rFonts w:asciiTheme="minorHAnsi" w:hAnsiTheme="minorHAnsi" w:cs="Open Sans"/>
          <w:sz w:val="22"/>
          <w:szCs w:val="22"/>
        </w:rPr>
      </w:pPr>
    </w:p>
    <w:p w14:paraId="44A146C1" w14:textId="45E048BB" w:rsidR="008E4CB5" w:rsidRPr="008E4CB5" w:rsidRDefault="008E4CB5" w:rsidP="008E4CB5">
      <w:pPr>
        <w:pStyle w:val="NoSpacing"/>
        <w:rPr>
          <w:color w:val="009AA6" w:themeColor="text2"/>
        </w:rPr>
      </w:pPr>
      <w:r w:rsidRPr="008E4CB5">
        <w:rPr>
          <w:rFonts w:asciiTheme="majorHAnsi" w:hAnsiTheme="majorHAnsi"/>
          <w:b/>
          <w:color w:val="009AA6" w:themeColor="text2"/>
          <w:sz w:val="32"/>
        </w:rPr>
        <w:t xml:space="preserve">Preparing CTE </w:t>
      </w:r>
      <w:r w:rsidR="009B7AE2">
        <w:rPr>
          <w:rFonts w:asciiTheme="majorHAnsi" w:hAnsiTheme="majorHAnsi"/>
          <w:b/>
          <w:color w:val="009AA6" w:themeColor="text2"/>
          <w:sz w:val="32"/>
        </w:rPr>
        <w:t>Educators</w:t>
      </w:r>
      <w:r w:rsidRPr="008E4CB5">
        <w:rPr>
          <w:rFonts w:asciiTheme="majorHAnsi" w:hAnsiTheme="majorHAnsi"/>
          <w:b/>
          <w:color w:val="009AA6" w:themeColor="text2"/>
          <w:sz w:val="32"/>
        </w:rPr>
        <w:t xml:space="preserve"> and Faculty</w:t>
      </w:r>
    </w:p>
    <w:p w14:paraId="5771D265" w14:textId="003CC5FC" w:rsidR="008E4CB5" w:rsidRDefault="006353C7" w:rsidP="008E4CB5">
      <w:pPr>
        <w:pStyle w:val="NormalWeb"/>
        <w:spacing w:before="0" w:beforeAutospacing="0" w:after="0" w:afterAutospacing="0" w:line="276" w:lineRule="auto"/>
        <w:rPr>
          <w:rFonts w:asciiTheme="minorHAnsi" w:hAnsiTheme="minorHAnsi"/>
          <w:sz w:val="20"/>
          <w:szCs w:val="20"/>
        </w:rPr>
      </w:pPr>
      <w:r w:rsidRPr="00BA63B6">
        <w:rPr>
          <w:rFonts w:asciiTheme="minorHAnsi" w:hAnsiTheme="minorHAnsi"/>
          <w:sz w:val="20"/>
          <w:szCs w:val="20"/>
        </w:rPr>
        <w:t xml:space="preserve">CTE programs cannot exist without qualified instructors and staff.  Colorado CTE programs work closely with the Department of Education and other partners to ensure a viable pipeline of instructors.  Additionally, the state plan talks about the commitment in the next four years to support to local CTE providers (school districts and colleges) in identifying and addressing barriers to entry into the teaching profession, such as through the provision of CTE mentors for new instructors and closer partnerships with alternative licensure programs. Finally, retention and ongoing professional development of the current education workforce is critical and the state plan outlines </w:t>
      </w:r>
      <w:r w:rsidR="00BA63B6">
        <w:rPr>
          <w:rFonts w:asciiTheme="minorHAnsi" w:hAnsiTheme="minorHAnsi"/>
          <w:sz w:val="20"/>
          <w:szCs w:val="20"/>
        </w:rPr>
        <w:t>ways</w:t>
      </w:r>
      <w:r w:rsidRPr="00BA63B6">
        <w:rPr>
          <w:rFonts w:asciiTheme="minorHAnsi" w:hAnsiTheme="minorHAnsi"/>
          <w:sz w:val="20"/>
          <w:szCs w:val="20"/>
        </w:rPr>
        <w:t xml:space="preserve"> CCCS will support professional development activities </w:t>
      </w:r>
      <w:r w:rsidR="00BA63B6" w:rsidRPr="00BA63B6">
        <w:rPr>
          <w:rFonts w:asciiTheme="minorHAnsi" w:hAnsiTheme="minorHAnsi"/>
          <w:sz w:val="20"/>
          <w:szCs w:val="20"/>
        </w:rPr>
        <w:t>at the state and local levels</w:t>
      </w:r>
      <w:r w:rsidR="00BA63B6">
        <w:rPr>
          <w:rFonts w:asciiTheme="minorHAnsi" w:hAnsiTheme="minorHAnsi"/>
          <w:sz w:val="20"/>
          <w:szCs w:val="20"/>
        </w:rPr>
        <w:t xml:space="preserve"> such as through existing professional associations, content specific workshops, and new teacher orientations</w:t>
      </w:r>
      <w:r w:rsidR="00BA63B6" w:rsidRPr="00BA63B6">
        <w:rPr>
          <w:rFonts w:asciiTheme="minorHAnsi" w:hAnsiTheme="minorHAnsi"/>
          <w:sz w:val="20"/>
          <w:szCs w:val="20"/>
        </w:rPr>
        <w:t xml:space="preserve">.  </w:t>
      </w:r>
      <w:r w:rsidRPr="00BA63B6">
        <w:rPr>
          <w:rFonts w:asciiTheme="minorHAnsi" w:hAnsiTheme="minorHAnsi"/>
          <w:sz w:val="20"/>
          <w:szCs w:val="20"/>
        </w:rPr>
        <w:t xml:space="preserve">  </w:t>
      </w:r>
    </w:p>
    <w:p w14:paraId="3684040D" w14:textId="77777777" w:rsidR="00BA63B6" w:rsidRPr="00BA63B6" w:rsidRDefault="00BA63B6" w:rsidP="008E4CB5">
      <w:pPr>
        <w:pStyle w:val="NormalWeb"/>
        <w:spacing w:before="0" w:beforeAutospacing="0" w:after="0" w:afterAutospacing="0" w:line="276" w:lineRule="auto"/>
        <w:rPr>
          <w:rFonts w:asciiTheme="minorHAnsi" w:hAnsiTheme="minorHAnsi" w:cs="Open Sans"/>
          <w:sz w:val="20"/>
          <w:szCs w:val="20"/>
        </w:rPr>
      </w:pPr>
    </w:p>
    <w:p w14:paraId="1E88C6BB" w14:textId="574692E6" w:rsidR="00BA63B6" w:rsidRPr="00955D94" w:rsidRDefault="00BA63B6" w:rsidP="00BA63B6">
      <w:pPr>
        <w:pStyle w:val="NoSpacing"/>
        <w:rPr>
          <w:rFonts w:asciiTheme="majorHAnsi" w:hAnsiTheme="majorHAnsi"/>
          <w:b/>
          <w:color w:val="7AB800" w:themeColor="accent3"/>
          <w:sz w:val="32"/>
        </w:rPr>
      </w:pPr>
      <w:r w:rsidRPr="00955D94">
        <w:rPr>
          <w:rFonts w:asciiTheme="majorHAnsi" w:hAnsiTheme="majorHAnsi"/>
          <w:b/>
          <w:color w:val="7AB800" w:themeColor="accent3"/>
          <w:sz w:val="32"/>
        </w:rPr>
        <w:t>Perkins Funding</w:t>
      </w:r>
    </w:p>
    <w:p w14:paraId="48A4D074" w14:textId="32C8C939" w:rsidR="00700C74" w:rsidRDefault="00817FC0" w:rsidP="00BA63B6">
      <w:pPr>
        <w:pStyle w:val="NoSpacing"/>
      </w:pPr>
      <w:r>
        <w:t>Where there is flexibility in the law as to how federal funds are distributed to local eligible agencies, the</w:t>
      </w:r>
      <w:r w:rsidR="00BA63B6">
        <w:t xml:space="preserve"> state plan outlines specific details of how </w:t>
      </w:r>
      <w:r>
        <w:t xml:space="preserve">Colorado will distribute funds.  Perkins is a formula grant with 85 percent of the funds distributed going through the federally stipulated formula.  Sixty percent of those funds support postsecondary CTE programs, and forty percent supports secondary CTE programs, which also have access to other state dollars supporting CTE (through the Colorado Technical Act). </w:t>
      </w:r>
      <w:r w:rsidR="00D70D43">
        <w:t xml:space="preserve">One new requirement in Perkins V is that locals prepare a comprehensive local needs assessment biennially.  All Perkins spending must relate to the results of this needs assessment and a wide range of stakeholder voices must be considered.  Colorado is completing these needs assessments on a regional basis in coordination with the fourteen identified economic development regions in the state to encourage collaboration and partnership and to avoid overtaxing state and local partners, including business and industry who may have relationships with multiple districts or colleges.  </w:t>
      </w:r>
      <w:r w:rsidR="006C7858">
        <w:t>Secondary districts participating in Perkins must meet the federal requirements to ‘</w:t>
      </w:r>
      <w:proofErr w:type="spellStart"/>
      <w:r w:rsidR="006C7858">
        <w:t>stand alone</w:t>
      </w:r>
      <w:proofErr w:type="spellEnd"/>
      <w:r w:rsidR="006C7858">
        <w:t>’ to receive funds or may participate in a consortium, or regional, grant arrangement.  Annually, around 11</w:t>
      </w:r>
      <w:r w:rsidR="009B7AE2">
        <w:t>5</w:t>
      </w:r>
      <w:r w:rsidR="006C7858">
        <w:t xml:space="preserve"> school districts participate in consortia.</w:t>
      </w:r>
    </w:p>
    <w:p w14:paraId="326DB5D9" w14:textId="3EB6BF54" w:rsidR="00D70D43" w:rsidRDefault="00D70D43" w:rsidP="00BA63B6">
      <w:pPr>
        <w:pStyle w:val="NoSpacing"/>
      </w:pPr>
      <w:r>
        <w:lastRenderedPageBreak/>
        <w:t>To encourage innovation</w:t>
      </w:r>
      <w:r w:rsidR="006C7858">
        <w:t xml:space="preserve"> and collaboration</w:t>
      </w:r>
      <w:r>
        <w:t xml:space="preserve">, the majority of funds not required to be distributed by formula will </w:t>
      </w:r>
      <w:r w:rsidR="009B7AE2">
        <w:t xml:space="preserve">continue to </w:t>
      </w:r>
      <w:r>
        <w:t xml:space="preserve">be awarded on a competitive basis.  Proposals must address </w:t>
      </w:r>
      <w:r w:rsidR="006C7858">
        <w:t>state identified priorities and demonstrate partnership. There will also be a factor to encourage rural participation in this process</w:t>
      </w:r>
      <w:r w:rsidR="009B7AE2">
        <w:t xml:space="preserve"> and to encourage alignment with the Governor’s economic priorities</w:t>
      </w:r>
      <w:r w:rsidR="006C7858">
        <w:t xml:space="preserve">.  The remaining funds not distributed by formula or competition will be divided evenly for distribution to rural grant recipients to ensure a more equitable distribution of grant funds across Colorado. </w:t>
      </w:r>
    </w:p>
    <w:p w14:paraId="259E3026" w14:textId="60917376" w:rsidR="006C7858" w:rsidRPr="006C7858" w:rsidRDefault="006C7858" w:rsidP="006C7858">
      <w:pPr>
        <w:pStyle w:val="NoSpacing"/>
        <w:rPr>
          <w:color w:val="FF6D14" w:themeColor="accent1"/>
        </w:rPr>
      </w:pPr>
      <w:r>
        <w:rPr>
          <w:rFonts w:asciiTheme="majorHAnsi" w:hAnsiTheme="majorHAnsi"/>
          <w:b/>
          <w:color w:val="FF6D14" w:themeColor="accent1"/>
          <w:sz w:val="32"/>
        </w:rPr>
        <w:t>Accountability for Results</w:t>
      </w:r>
    </w:p>
    <w:p w14:paraId="0BBBCE26" w14:textId="24F2C940" w:rsidR="006C7858" w:rsidRDefault="006C7858" w:rsidP="006C7858">
      <w:pPr>
        <w:pStyle w:val="NoSpacing"/>
      </w:pPr>
      <w:r>
        <w:t xml:space="preserve">The Perkins law requires annual reporting on federally defined </w:t>
      </w:r>
      <w:r w:rsidR="00DF127F">
        <w:t>performance indicators</w:t>
      </w:r>
      <w:r>
        <w:t xml:space="preserve">.  The table below details the measures for secondary and postsecondary CTE programs.  Through the stakeholder engagement process, Colorado selected work-based learning as its secondary program quality indicator as it aligns most closely with other workforce and education initiatives in our state.  To establish baselines and targets for the next four years, </w:t>
      </w:r>
      <w:r w:rsidR="00CD2D1D">
        <w:t xml:space="preserve">goals set in </w:t>
      </w:r>
      <w:r>
        <w:t xml:space="preserve">the Every Student Succeeds Act plan managed the Colorado Department of Education </w:t>
      </w:r>
      <w:r w:rsidR="00CD2D1D">
        <w:t>and the WIOA Plan managed by the Colorado Workforce Development Council were considered, where applicable.  Colorado CTE staff also met with Perkins accountability personnel from other states to consider the broader, national CTE landscape. Nearly every performance indicator in the law measures performance and outcomes based on a learner’s status as a ‘concentrator</w:t>
      </w:r>
      <w:r w:rsidR="00BF395C">
        <w:t>,</w:t>
      </w:r>
      <w:r w:rsidR="00CD2D1D">
        <w:t xml:space="preserve">’ or having completed a particular minimum portion of a CTE program.  Concentration is defined in the federal law and in the state plan. Results in each of these indicators is required to be reported by participants annually, and CCCS provides support in disaggregating the results by special populations and CTE program identifiers to support grant recipients in making equitable and data driven decisions. </w:t>
      </w:r>
    </w:p>
    <w:p w14:paraId="4D889EBF" w14:textId="3C708080" w:rsidR="006C7858" w:rsidRPr="006C7858" w:rsidRDefault="006C7858" w:rsidP="006C7858">
      <w:pPr>
        <w:pStyle w:val="NoSpacing"/>
        <w:rPr>
          <w:b/>
        </w:rPr>
      </w:pPr>
      <w:r>
        <w:rPr>
          <w:b/>
        </w:rPr>
        <w:t xml:space="preserve">Table of Performance Indicators for Perkins V </w:t>
      </w:r>
    </w:p>
    <w:tbl>
      <w:tblPr>
        <w:tblStyle w:val="TableGrid"/>
        <w:tblW w:w="0" w:type="auto"/>
        <w:tblLook w:val="04A0" w:firstRow="1" w:lastRow="0" w:firstColumn="1" w:lastColumn="0" w:noHBand="0" w:noVBand="1"/>
      </w:tblPr>
      <w:tblGrid>
        <w:gridCol w:w="4765"/>
        <w:gridCol w:w="2520"/>
        <w:gridCol w:w="2929"/>
      </w:tblGrid>
      <w:tr w:rsidR="006C7858" w:rsidRPr="006C7858" w14:paraId="14535230" w14:textId="77777777" w:rsidTr="00CD2D1D">
        <w:tc>
          <w:tcPr>
            <w:tcW w:w="4765" w:type="dxa"/>
          </w:tcPr>
          <w:p w14:paraId="6D47505F" w14:textId="02D07DAC" w:rsidR="006C7858" w:rsidRPr="006C7858" w:rsidRDefault="006C7858" w:rsidP="006C7858">
            <w:pPr>
              <w:pStyle w:val="NoSpacing"/>
              <w:rPr>
                <w:b/>
              </w:rPr>
            </w:pPr>
            <w:r>
              <w:rPr>
                <w:b/>
              </w:rPr>
              <w:t>Indicator</w:t>
            </w:r>
          </w:p>
        </w:tc>
        <w:tc>
          <w:tcPr>
            <w:tcW w:w="2520" w:type="dxa"/>
          </w:tcPr>
          <w:p w14:paraId="63E3339C" w14:textId="45644E3F" w:rsidR="006C7858" w:rsidRPr="006C7858" w:rsidRDefault="006C7858" w:rsidP="006C7858">
            <w:pPr>
              <w:pStyle w:val="NoSpacing"/>
              <w:rPr>
                <w:b/>
              </w:rPr>
            </w:pPr>
            <w:r>
              <w:rPr>
                <w:b/>
              </w:rPr>
              <w:t>Secondary Requirement</w:t>
            </w:r>
          </w:p>
        </w:tc>
        <w:tc>
          <w:tcPr>
            <w:tcW w:w="2929" w:type="dxa"/>
          </w:tcPr>
          <w:p w14:paraId="1E3FE57B" w14:textId="1888B254" w:rsidR="006C7858" w:rsidRPr="006C7858" w:rsidRDefault="006C7858" w:rsidP="006C7858">
            <w:pPr>
              <w:pStyle w:val="NoSpacing"/>
              <w:rPr>
                <w:b/>
              </w:rPr>
            </w:pPr>
            <w:r>
              <w:rPr>
                <w:b/>
              </w:rPr>
              <w:t>Postsecondary Requirement</w:t>
            </w:r>
          </w:p>
        </w:tc>
      </w:tr>
      <w:tr w:rsidR="006C7858" w14:paraId="3A45C260" w14:textId="77777777" w:rsidTr="00CD2D1D">
        <w:tc>
          <w:tcPr>
            <w:tcW w:w="4765" w:type="dxa"/>
          </w:tcPr>
          <w:p w14:paraId="5B84BF3F" w14:textId="40F71E32" w:rsidR="006C7858" w:rsidRDefault="00CD2D1D" w:rsidP="006C7858">
            <w:pPr>
              <w:pStyle w:val="NoSpacing"/>
            </w:pPr>
            <w:r>
              <w:t>Four-Year Graduation Rate</w:t>
            </w:r>
          </w:p>
        </w:tc>
        <w:tc>
          <w:tcPr>
            <w:tcW w:w="2520" w:type="dxa"/>
          </w:tcPr>
          <w:p w14:paraId="0EA9BC7D" w14:textId="4BB81EE7" w:rsidR="006C7858" w:rsidRDefault="00CD2D1D" w:rsidP="00CD2D1D">
            <w:pPr>
              <w:pStyle w:val="NoSpacing"/>
              <w:jc w:val="center"/>
            </w:pPr>
            <w:r>
              <w:t>X</w:t>
            </w:r>
          </w:p>
        </w:tc>
        <w:tc>
          <w:tcPr>
            <w:tcW w:w="2929" w:type="dxa"/>
          </w:tcPr>
          <w:p w14:paraId="20B0D0C4" w14:textId="77777777" w:rsidR="006C7858" w:rsidRDefault="006C7858" w:rsidP="00CD2D1D">
            <w:pPr>
              <w:pStyle w:val="NoSpacing"/>
              <w:jc w:val="center"/>
            </w:pPr>
          </w:p>
        </w:tc>
      </w:tr>
      <w:tr w:rsidR="006C7858" w14:paraId="2825FDEA" w14:textId="77777777" w:rsidTr="00CD2D1D">
        <w:tc>
          <w:tcPr>
            <w:tcW w:w="4765" w:type="dxa"/>
          </w:tcPr>
          <w:p w14:paraId="213EA82E" w14:textId="457F5CC6" w:rsidR="006C7858" w:rsidRDefault="00CD2D1D" w:rsidP="00CD2D1D">
            <w:pPr>
              <w:pStyle w:val="NoSpacing"/>
            </w:pPr>
            <w:r>
              <w:t>Extended (7-year) Graduation Rate</w:t>
            </w:r>
          </w:p>
        </w:tc>
        <w:tc>
          <w:tcPr>
            <w:tcW w:w="2520" w:type="dxa"/>
          </w:tcPr>
          <w:p w14:paraId="7BC6B53D" w14:textId="6C3BD92C" w:rsidR="006C7858" w:rsidRDefault="00CD2D1D" w:rsidP="00CD2D1D">
            <w:pPr>
              <w:pStyle w:val="NoSpacing"/>
              <w:jc w:val="center"/>
            </w:pPr>
            <w:r>
              <w:t>X</w:t>
            </w:r>
          </w:p>
        </w:tc>
        <w:tc>
          <w:tcPr>
            <w:tcW w:w="2929" w:type="dxa"/>
          </w:tcPr>
          <w:p w14:paraId="1123DEC6" w14:textId="77777777" w:rsidR="006C7858" w:rsidRDefault="006C7858" w:rsidP="00CD2D1D">
            <w:pPr>
              <w:pStyle w:val="NoSpacing"/>
              <w:jc w:val="center"/>
            </w:pPr>
          </w:p>
        </w:tc>
      </w:tr>
      <w:tr w:rsidR="006C7858" w14:paraId="3DB76FB4" w14:textId="77777777" w:rsidTr="00CD2D1D">
        <w:tc>
          <w:tcPr>
            <w:tcW w:w="4765" w:type="dxa"/>
          </w:tcPr>
          <w:p w14:paraId="548AC562" w14:textId="2E75DFB5" w:rsidR="006C7858" w:rsidRDefault="00CD2D1D" w:rsidP="006C7858">
            <w:pPr>
              <w:pStyle w:val="NoSpacing"/>
            </w:pPr>
            <w:r>
              <w:t>Academic Proficiency in Reading/Language Arts</w:t>
            </w:r>
          </w:p>
        </w:tc>
        <w:tc>
          <w:tcPr>
            <w:tcW w:w="2520" w:type="dxa"/>
          </w:tcPr>
          <w:p w14:paraId="6AC33676" w14:textId="61726BCF" w:rsidR="006C7858" w:rsidRDefault="00CD2D1D" w:rsidP="00CD2D1D">
            <w:pPr>
              <w:pStyle w:val="NoSpacing"/>
              <w:jc w:val="center"/>
            </w:pPr>
            <w:r>
              <w:t>X</w:t>
            </w:r>
          </w:p>
        </w:tc>
        <w:tc>
          <w:tcPr>
            <w:tcW w:w="2929" w:type="dxa"/>
          </w:tcPr>
          <w:p w14:paraId="5E0D425A" w14:textId="77777777" w:rsidR="006C7858" w:rsidRDefault="006C7858" w:rsidP="00CD2D1D">
            <w:pPr>
              <w:pStyle w:val="NoSpacing"/>
              <w:jc w:val="center"/>
            </w:pPr>
          </w:p>
        </w:tc>
      </w:tr>
      <w:tr w:rsidR="006C7858" w14:paraId="3762270C" w14:textId="77777777" w:rsidTr="00CD2D1D">
        <w:tc>
          <w:tcPr>
            <w:tcW w:w="4765" w:type="dxa"/>
          </w:tcPr>
          <w:p w14:paraId="414533A4" w14:textId="35B3C1BB" w:rsidR="006C7858" w:rsidRDefault="00CD2D1D" w:rsidP="006C7858">
            <w:pPr>
              <w:pStyle w:val="NoSpacing"/>
            </w:pPr>
            <w:r>
              <w:t>Academic Proficiency in Mathematics</w:t>
            </w:r>
          </w:p>
        </w:tc>
        <w:tc>
          <w:tcPr>
            <w:tcW w:w="2520" w:type="dxa"/>
          </w:tcPr>
          <w:p w14:paraId="16DAFFF5" w14:textId="57B38E46" w:rsidR="006C7858" w:rsidRDefault="00CD2D1D" w:rsidP="00CD2D1D">
            <w:pPr>
              <w:pStyle w:val="NoSpacing"/>
              <w:jc w:val="center"/>
            </w:pPr>
            <w:r>
              <w:t>X</w:t>
            </w:r>
          </w:p>
        </w:tc>
        <w:tc>
          <w:tcPr>
            <w:tcW w:w="2929" w:type="dxa"/>
          </w:tcPr>
          <w:p w14:paraId="6A9A2AA0" w14:textId="77777777" w:rsidR="006C7858" w:rsidRDefault="006C7858" w:rsidP="00CD2D1D">
            <w:pPr>
              <w:pStyle w:val="NoSpacing"/>
              <w:jc w:val="center"/>
            </w:pPr>
          </w:p>
        </w:tc>
      </w:tr>
      <w:tr w:rsidR="006C7858" w14:paraId="17DE6E7C" w14:textId="77777777" w:rsidTr="00CD2D1D">
        <w:tc>
          <w:tcPr>
            <w:tcW w:w="4765" w:type="dxa"/>
          </w:tcPr>
          <w:p w14:paraId="4B80D8EA" w14:textId="017F0827" w:rsidR="006C7858" w:rsidRDefault="00CD2D1D" w:rsidP="006C7858">
            <w:pPr>
              <w:pStyle w:val="NoSpacing"/>
            </w:pPr>
            <w:r>
              <w:t>Academic Proficiency in Science</w:t>
            </w:r>
          </w:p>
        </w:tc>
        <w:tc>
          <w:tcPr>
            <w:tcW w:w="2520" w:type="dxa"/>
          </w:tcPr>
          <w:p w14:paraId="290E75E1" w14:textId="395D9EB8" w:rsidR="006C7858" w:rsidRDefault="00CD2D1D" w:rsidP="00CD2D1D">
            <w:pPr>
              <w:pStyle w:val="NoSpacing"/>
              <w:jc w:val="center"/>
            </w:pPr>
            <w:r>
              <w:t>X</w:t>
            </w:r>
          </w:p>
        </w:tc>
        <w:tc>
          <w:tcPr>
            <w:tcW w:w="2929" w:type="dxa"/>
          </w:tcPr>
          <w:p w14:paraId="2ACD0FA8" w14:textId="77777777" w:rsidR="006C7858" w:rsidRDefault="006C7858" w:rsidP="00CD2D1D">
            <w:pPr>
              <w:pStyle w:val="NoSpacing"/>
              <w:jc w:val="center"/>
            </w:pPr>
          </w:p>
        </w:tc>
      </w:tr>
      <w:tr w:rsidR="006C7858" w14:paraId="43DEA6AB" w14:textId="77777777" w:rsidTr="00CD2D1D">
        <w:tc>
          <w:tcPr>
            <w:tcW w:w="4765" w:type="dxa"/>
          </w:tcPr>
          <w:p w14:paraId="4B414557" w14:textId="02F536AC" w:rsidR="006C7858" w:rsidRDefault="00CD2D1D" w:rsidP="006C7858">
            <w:pPr>
              <w:pStyle w:val="NoSpacing"/>
            </w:pPr>
            <w:r>
              <w:t>Post Program Placement</w:t>
            </w:r>
          </w:p>
        </w:tc>
        <w:tc>
          <w:tcPr>
            <w:tcW w:w="2520" w:type="dxa"/>
          </w:tcPr>
          <w:p w14:paraId="220E0096" w14:textId="1D634E6B" w:rsidR="006C7858" w:rsidRDefault="00CD2D1D" w:rsidP="00CD2D1D">
            <w:pPr>
              <w:pStyle w:val="NoSpacing"/>
              <w:jc w:val="center"/>
            </w:pPr>
            <w:r>
              <w:t>X</w:t>
            </w:r>
          </w:p>
        </w:tc>
        <w:tc>
          <w:tcPr>
            <w:tcW w:w="2929" w:type="dxa"/>
          </w:tcPr>
          <w:p w14:paraId="0E393623" w14:textId="77777777" w:rsidR="006C7858" w:rsidRDefault="006C7858" w:rsidP="00CD2D1D">
            <w:pPr>
              <w:pStyle w:val="NoSpacing"/>
              <w:jc w:val="center"/>
            </w:pPr>
          </w:p>
        </w:tc>
      </w:tr>
      <w:tr w:rsidR="006C7858" w14:paraId="10282067" w14:textId="77777777" w:rsidTr="00CD2D1D">
        <w:tc>
          <w:tcPr>
            <w:tcW w:w="4765" w:type="dxa"/>
          </w:tcPr>
          <w:p w14:paraId="4FACD2AD" w14:textId="0A148563" w:rsidR="006C7858" w:rsidRDefault="00CD2D1D" w:rsidP="006C7858">
            <w:pPr>
              <w:pStyle w:val="NoSpacing"/>
            </w:pPr>
            <w:r>
              <w:t>Non-Traditional* Concentration</w:t>
            </w:r>
          </w:p>
        </w:tc>
        <w:tc>
          <w:tcPr>
            <w:tcW w:w="2520" w:type="dxa"/>
          </w:tcPr>
          <w:p w14:paraId="341B078C" w14:textId="6725B8B3" w:rsidR="006C7858" w:rsidRDefault="00CD2D1D" w:rsidP="00CD2D1D">
            <w:pPr>
              <w:pStyle w:val="NoSpacing"/>
              <w:jc w:val="center"/>
            </w:pPr>
            <w:r>
              <w:t>X</w:t>
            </w:r>
          </w:p>
        </w:tc>
        <w:tc>
          <w:tcPr>
            <w:tcW w:w="2929" w:type="dxa"/>
          </w:tcPr>
          <w:p w14:paraId="0BFD5164" w14:textId="78DA4D13" w:rsidR="006C7858" w:rsidRDefault="00CD2D1D" w:rsidP="00CD2D1D">
            <w:pPr>
              <w:pStyle w:val="NoSpacing"/>
              <w:jc w:val="center"/>
            </w:pPr>
            <w:r>
              <w:t>X</w:t>
            </w:r>
          </w:p>
        </w:tc>
      </w:tr>
      <w:tr w:rsidR="00CD2D1D" w14:paraId="488C0583" w14:textId="77777777" w:rsidTr="00CD2D1D">
        <w:tc>
          <w:tcPr>
            <w:tcW w:w="4765" w:type="dxa"/>
          </w:tcPr>
          <w:p w14:paraId="53764EAC" w14:textId="3757DCF1" w:rsidR="00CD2D1D" w:rsidRDefault="00CD2D1D" w:rsidP="006C7858">
            <w:pPr>
              <w:pStyle w:val="NoSpacing"/>
            </w:pPr>
            <w:r>
              <w:t>Program Quality – Work-based learning</w:t>
            </w:r>
            <w:r w:rsidR="00382ABC">
              <w:t>**</w:t>
            </w:r>
          </w:p>
        </w:tc>
        <w:tc>
          <w:tcPr>
            <w:tcW w:w="2520" w:type="dxa"/>
          </w:tcPr>
          <w:p w14:paraId="7CB4F75E" w14:textId="014CDF90" w:rsidR="00CD2D1D" w:rsidRDefault="00CD2D1D" w:rsidP="00CD2D1D">
            <w:pPr>
              <w:pStyle w:val="NoSpacing"/>
              <w:jc w:val="center"/>
            </w:pPr>
            <w:r>
              <w:t>X</w:t>
            </w:r>
          </w:p>
        </w:tc>
        <w:tc>
          <w:tcPr>
            <w:tcW w:w="2929" w:type="dxa"/>
          </w:tcPr>
          <w:p w14:paraId="4582DE03" w14:textId="77777777" w:rsidR="00CD2D1D" w:rsidRDefault="00CD2D1D" w:rsidP="00CD2D1D">
            <w:pPr>
              <w:pStyle w:val="NoSpacing"/>
              <w:jc w:val="center"/>
            </w:pPr>
          </w:p>
        </w:tc>
      </w:tr>
      <w:tr w:rsidR="00CD2D1D" w14:paraId="56128A3E" w14:textId="77777777" w:rsidTr="00CD2D1D">
        <w:tc>
          <w:tcPr>
            <w:tcW w:w="4765" w:type="dxa"/>
          </w:tcPr>
          <w:p w14:paraId="2153693D" w14:textId="4899A9DF" w:rsidR="00CD2D1D" w:rsidRDefault="00CD2D1D" w:rsidP="006C7858">
            <w:pPr>
              <w:pStyle w:val="NoSpacing"/>
            </w:pPr>
            <w:r>
              <w:t>Postsecondary Retention and Placement</w:t>
            </w:r>
          </w:p>
        </w:tc>
        <w:tc>
          <w:tcPr>
            <w:tcW w:w="2520" w:type="dxa"/>
          </w:tcPr>
          <w:p w14:paraId="17F9166A" w14:textId="77777777" w:rsidR="00CD2D1D" w:rsidRDefault="00CD2D1D" w:rsidP="00CD2D1D">
            <w:pPr>
              <w:pStyle w:val="NoSpacing"/>
              <w:jc w:val="center"/>
            </w:pPr>
          </w:p>
        </w:tc>
        <w:tc>
          <w:tcPr>
            <w:tcW w:w="2929" w:type="dxa"/>
          </w:tcPr>
          <w:p w14:paraId="49DD9E66" w14:textId="3B12A286" w:rsidR="00CD2D1D" w:rsidRDefault="00CD2D1D" w:rsidP="00CD2D1D">
            <w:pPr>
              <w:pStyle w:val="NoSpacing"/>
              <w:jc w:val="center"/>
            </w:pPr>
            <w:r>
              <w:t>X</w:t>
            </w:r>
          </w:p>
        </w:tc>
      </w:tr>
      <w:tr w:rsidR="00CD2D1D" w14:paraId="492BFA99" w14:textId="77777777" w:rsidTr="00CD2D1D">
        <w:tc>
          <w:tcPr>
            <w:tcW w:w="4765" w:type="dxa"/>
          </w:tcPr>
          <w:p w14:paraId="5757DC2F" w14:textId="24292C41" w:rsidR="00CD2D1D" w:rsidRDefault="00CD2D1D" w:rsidP="006C7858">
            <w:pPr>
              <w:pStyle w:val="NoSpacing"/>
            </w:pPr>
            <w:r>
              <w:t>Earned Recognized Postsecondary Credential</w:t>
            </w:r>
          </w:p>
        </w:tc>
        <w:tc>
          <w:tcPr>
            <w:tcW w:w="2520" w:type="dxa"/>
          </w:tcPr>
          <w:p w14:paraId="60A6E837" w14:textId="77777777" w:rsidR="00CD2D1D" w:rsidRDefault="00CD2D1D" w:rsidP="00CD2D1D">
            <w:pPr>
              <w:pStyle w:val="NoSpacing"/>
              <w:jc w:val="center"/>
            </w:pPr>
          </w:p>
        </w:tc>
        <w:tc>
          <w:tcPr>
            <w:tcW w:w="2929" w:type="dxa"/>
          </w:tcPr>
          <w:p w14:paraId="7E276A75" w14:textId="75AF508E" w:rsidR="00CD2D1D" w:rsidRDefault="00CD2D1D" w:rsidP="00CD2D1D">
            <w:pPr>
              <w:pStyle w:val="NoSpacing"/>
              <w:jc w:val="center"/>
            </w:pPr>
            <w:r>
              <w:t>X</w:t>
            </w:r>
          </w:p>
        </w:tc>
      </w:tr>
    </w:tbl>
    <w:p w14:paraId="2937E8A7" w14:textId="14B182BD" w:rsidR="006C7858" w:rsidRDefault="00CD2D1D" w:rsidP="006C7858">
      <w:pPr>
        <w:pStyle w:val="NoSpacing"/>
      </w:pPr>
      <w:r>
        <w:t>*Non-traditional refers to occupational fields and their associated CTE program where one gender makes up less than 25% of the workforce (i.e. females in construction; males in nursing).</w:t>
      </w:r>
    </w:p>
    <w:p w14:paraId="14BFFFB0" w14:textId="7812EE7C" w:rsidR="00690FC1" w:rsidRPr="00FF31A0" w:rsidRDefault="00382ABC" w:rsidP="00FF31A0">
      <w:pPr>
        <w:pStyle w:val="NoSpacing"/>
      </w:pPr>
      <w:r>
        <w:t>**Work-based learning activities that meet the federal Perkins definition include those listed on Colorado’</w:t>
      </w:r>
      <w:r w:rsidR="00FF31A0">
        <w:t>s Work-Based Learning Continuum under the ‘Learning Through Work’ and ‘Learning At Work’ headers.</w:t>
      </w:r>
      <w:r w:rsidR="00B45150" w:rsidRPr="00B44704">
        <w:rPr>
          <w:rFonts w:cs="Open Sans"/>
          <w:sz w:val="22"/>
          <w:szCs w:val="22"/>
        </w:rPr>
        <w:t xml:space="preserve"> </w:t>
      </w:r>
    </w:p>
    <w:sectPr w:rsidR="00690FC1" w:rsidRPr="00FF31A0" w:rsidSect="009B7AE2">
      <w:footerReference w:type="default" r:id="rId14"/>
      <w:footerReference w:type="first" r:id="rId15"/>
      <w:pgSz w:w="12240" w:h="15840"/>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8A41" w14:textId="77777777" w:rsidR="003368FB" w:rsidRDefault="003368FB" w:rsidP="0050059F">
      <w:r>
        <w:separator/>
      </w:r>
    </w:p>
  </w:endnote>
  <w:endnote w:type="continuationSeparator" w:id="0">
    <w:p w14:paraId="3ADC7855" w14:textId="77777777" w:rsidR="003368FB" w:rsidRDefault="003368FB" w:rsidP="0050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nny Gothic Condensed Book">
    <w:altName w:val="Courier New"/>
    <w:panose1 w:val="00000000000000000000"/>
    <w:charset w:val="00"/>
    <w:family w:val="modern"/>
    <w:notTrueType/>
    <w:pitch w:val="variable"/>
    <w:sig w:usb0="00000001" w:usb1="00000001" w:usb2="00000000" w:usb3="00000000" w:csb0="00000093" w:csb1="00000000"/>
  </w:font>
  <w:font w:name="Open Sans">
    <w:altName w:val="Verdan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227112"/>
      <w:docPartObj>
        <w:docPartGallery w:val="Page Numbers (Bottom of Page)"/>
        <w:docPartUnique/>
      </w:docPartObj>
    </w:sdtPr>
    <w:sdtContent>
      <w:sdt>
        <w:sdtPr>
          <w:id w:val="-1769616900"/>
          <w:docPartObj>
            <w:docPartGallery w:val="Page Numbers (Top of Page)"/>
            <w:docPartUnique/>
          </w:docPartObj>
        </w:sdtPr>
        <w:sdtContent>
          <w:p w14:paraId="78875C2B" w14:textId="32506ACB" w:rsidR="00D70D43" w:rsidRDefault="00D70D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F127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127F">
              <w:rPr>
                <w:b/>
                <w:bCs/>
                <w:noProof/>
              </w:rPr>
              <w:t>4</w:t>
            </w:r>
            <w:r>
              <w:rPr>
                <w:b/>
                <w:bCs/>
                <w:sz w:val="24"/>
                <w:szCs w:val="24"/>
              </w:rPr>
              <w:fldChar w:fldCharType="end"/>
            </w:r>
          </w:p>
        </w:sdtContent>
      </w:sdt>
    </w:sdtContent>
  </w:sdt>
  <w:p w14:paraId="06F7C5CF" w14:textId="77777777" w:rsidR="00D70D43" w:rsidRDefault="00D70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98081"/>
      <w:docPartObj>
        <w:docPartGallery w:val="Page Numbers (Bottom of Page)"/>
        <w:docPartUnique/>
      </w:docPartObj>
    </w:sdtPr>
    <w:sdtEndPr>
      <w:rPr>
        <w:color w:val="7F7F7F" w:themeColor="background1" w:themeShade="7F"/>
        <w:spacing w:val="60"/>
      </w:rPr>
    </w:sdtEndPr>
    <w:sdtContent>
      <w:p w14:paraId="173226EF" w14:textId="47E60CD0" w:rsidR="00CD2B1B" w:rsidRDefault="00CD2B1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0FAA86" w14:textId="77777777" w:rsidR="00CD2B1B" w:rsidRDefault="00CD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3FFD" w14:textId="77777777" w:rsidR="003368FB" w:rsidRDefault="003368FB" w:rsidP="0050059F">
      <w:r>
        <w:separator/>
      </w:r>
    </w:p>
  </w:footnote>
  <w:footnote w:type="continuationSeparator" w:id="0">
    <w:p w14:paraId="69E08602" w14:textId="77777777" w:rsidR="003368FB" w:rsidRDefault="003368FB" w:rsidP="00500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35"/>
    <w:multiLevelType w:val="hybridMultilevel"/>
    <w:tmpl w:val="E2683C06"/>
    <w:lvl w:ilvl="0" w:tplc="8F6E0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96518"/>
    <w:multiLevelType w:val="hybridMultilevel"/>
    <w:tmpl w:val="3B8A897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827011"/>
    <w:multiLevelType w:val="hybridMultilevel"/>
    <w:tmpl w:val="376EFCF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B255D7"/>
    <w:multiLevelType w:val="hybridMultilevel"/>
    <w:tmpl w:val="E6445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F22E10"/>
    <w:multiLevelType w:val="hybridMultilevel"/>
    <w:tmpl w:val="C7DE42C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025B4"/>
    <w:multiLevelType w:val="hybridMultilevel"/>
    <w:tmpl w:val="38E4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1276B"/>
    <w:multiLevelType w:val="hybridMultilevel"/>
    <w:tmpl w:val="BA32A69C"/>
    <w:lvl w:ilvl="0" w:tplc="396E9C18">
      <w:start w:val="1"/>
      <w:numFmt w:val="decimal"/>
      <w:lvlText w:val="%1."/>
      <w:lvlJc w:val="left"/>
      <w:pPr>
        <w:ind w:left="360" w:hanging="360"/>
      </w:pPr>
      <w:rPr>
        <w:rFonts w:hint="default"/>
        <w:color w:val="009AA6"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0637F1"/>
    <w:multiLevelType w:val="hybridMultilevel"/>
    <w:tmpl w:val="9D48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5525"/>
    <w:multiLevelType w:val="hybridMultilevel"/>
    <w:tmpl w:val="76DC7C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85A39"/>
    <w:multiLevelType w:val="hybridMultilevel"/>
    <w:tmpl w:val="ECD2B93E"/>
    <w:lvl w:ilvl="0" w:tplc="DA7E9ABE">
      <w:start w:val="1"/>
      <w:numFmt w:val="bullet"/>
      <w:lvlText w:val=""/>
      <w:lvlJc w:val="left"/>
      <w:pPr>
        <w:ind w:left="720" w:hanging="360"/>
      </w:pPr>
      <w:rPr>
        <w:rFonts w:ascii="Symbol" w:hAnsi="Symbol" w:hint="default"/>
        <w:color w:val="7AB800"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D0EA1"/>
    <w:multiLevelType w:val="hybridMultilevel"/>
    <w:tmpl w:val="B3F6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15B7D"/>
    <w:multiLevelType w:val="hybridMultilevel"/>
    <w:tmpl w:val="2D64D902"/>
    <w:lvl w:ilvl="0" w:tplc="AD5630CE">
      <w:start w:val="1"/>
      <w:numFmt w:val="bullet"/>
      <w:lvlText w:val=""/>
      <w:lvlJc w:val="left"/>
      <w:pPr>
        <w:ind w:left="1080" w:hanging="360"/>
      </w:pPr>
      <w:rPr>
        <w:rFonts w:ascii="Symbol" w:hAnsi="Symbol" w:hint="default"/>
        <w:color w:val="auto"/>
      </w:rPr>
    </w:lvl>
    <w:lvl w:ilvl="1" w:tplc="AD5630CE">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A6881B82">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C68534B"/>
    <w:multiLevelType w:val="hybridMultilevel"/>
    <w:tmpl w:val="65FE4502"/>
    <w:lvl w:ilvl="0" w:tplc="AD563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D45BD"/>
    <w:multiLevelType w:val="hybridMultilevel"/>
    <w:tmpl w:val="C50C13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E11B45"/>
    <w:multiLevelType w:val="hybridMultilevel"/>
    <w:tmpl w:val="DB04CB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969DB"/>
    <w:multiLevelType w:val="hybridMultilevel"/>
    <w:tmpl w:val="C928B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1114A8"/>
    <w:multiLevelType w:val="hybridMultilevel"/>
    <w:tmpl w:val="2B48EA9A"/>
    <w:lvl w:ilvl="0" w:tplc="30C209C0">
      <w:start w:val="1"/>
      <w:numFmt w:val="bullet"/>
      <w:lvlText w:val=""/>
      <w:lvlJc w:val="left"/>
      <w:pPr>
        <w:ind w:left="720" w:hanging="360"/>
      </w:pPr>
      <w:rPr>
        <w:rFonts w:ascii="Wingdings" w:hAnsi="Wingdings" w:hint="default"/>
        <w:color w:val="009AA6"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33E6B"/>
    <w:multiLevelType w:val="hybridMultilevel"/>
    <w:tmpl w:val="AC82710E"/>
    <w:lvl w:ilvl="0" w:tplc="AD5630C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814461"/>
    <w:multiLevelType w:val="hybridMultilevel"/>
    <w:tmpl w:val="09507EA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55CAC"/>
    <w:multiLevelType w:val="hybridMultilevel"/>
    <w:tmpl w:val="EA9CE2A8"/>
    <w:lvl w:ilvl="0" w:tplc="AD5630C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1220E4"/>
    <w:multiLevelType w:val="hybridMultilevel"/>
    <w:tmpl w:val="04F464FE"/>
    <w:lvl w:ilvl="0" w:tplc="DA7E9ABE">
      <w:start w:val="1"/>
      <w:numFmt w:val="bullet"/>
      <w:lvlText w:val=""/>
      <w:lvlJc w:val="left"/>
      <w:pPr>
        <w:ind w:left="720" w:hanging="360"/>
      </w:pPr>
      <w:rPr>
        <w:rFonts w:ascii="Symbol" w:hAnsi="Symbol" w:hint="default"/>
        <w:color w:val="7AB800"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FCA"/>
    <w:multiLevelType w:val="hybridMultilevel"/>
    <w:tmpl w:val="3CB2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E42D9"/>
    <w:multiLevelType w:val="hybridMultilevel"/>
    <w:tmpl w:val="7D386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C026B6"/>
    <w:multiLevelType w:val="hybridMultilevel"/>
    <w:tmpl w:val="89BC6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5757E8"/>
    <w:multiLevelType w:val="hybridMultilevel"/>
    <w:tmpl w:val="633A151C"/>
    <w:lvl w:ilvl="0" w:tplc="AD5630CE">
      <w:start w:val="1"/>
      <w:numFmt w:val="bullet"/>
      <w:lvlText w:val=""/>
      <w:lvlJc w:val="left"/>
      <w:pPr>
        <w:ind w:left="1080" w:hanging="360"/>
      </w:pPr>
      <w:rPr>
        <w:rFonts w:ascii="Symbol" w:hAnsi="Symbol" w:hint="default"/>
        <w:color w:val="auto"/>
      </w:rPr>
    </w:lvl>
    <w:lvl w:ilvl="1" w:tplc="04090005">
      <w:start w:val="1"/>
      <w:numFmt w:val="bullet"/>
      <w:lvlText w:val=""/>
      <w:lvlJc w:val="left"/>
      <w:pPr>
        <w:ind w:left="1800" w:hanging="360"/>
      </w:pPr>
      <w:rPr>
        <w:rFonts w:ascii="Wingdings" w:hAnsi="Wingdings" w:hint="default"/>
      </w:rPr>
    </w:lvl>
    <w:lvl w:ilvl="2" w:tplc="AD5630CE">
      <w:start w:val="1"/>
      <w:numFmt w:val="bullet"/>
      <w:lvlText w:val=""/>
      <w:lvlJc w:val="left"/>
      <w:pPr>
        <w:ind w:left="2520" w:hanging="360"/>
      </w:pPr>
      <w:rPr>
        <w:rFonts w:ascii="Symbol" w:hAnsi="Symbol" w:hint="default"/>
        <w:color w:val="auto"/>
      </w:rPr>
    </w:lvl>
    <w:lvl w:ilvl="3" w:tplc="A6881B82">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CFF0BF9"/>
    <w:multiLevelType w:val="hybridMultilevel"/>
    <w:tmpl w:val="EDD25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FB72E69"/>
    <w:multiLevelType w:val="hybridMultilevel"/>
    <w:tmpl w:val="7708D4D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2E53F30"/>
    <w:multiLevelType w:val="hybridMultilevel"/>
    <w:tmpl w:val="BA62E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4170F"/>
    <w:multiLevelType w:val="hybridMultilevel"/>
    <w:tmpl w:val="AB845F0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73E83"/>
    <w:multiLevelType w:val="hybridMultilevel"/>
    <w:tmpl w:val="A3A8E3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E9A7450">
      <w:start w:val="1"/>
      <w:numFmt w:val="bullet"/>
      <w:lvlText w:val=""/>
      <w:lvlJc w:val="left"/>
      <w:pPr>
        <w:ind w:left="3600" w:hanging="360"/>
      </w:pPr>
      <w:rPr>
        <w:rFonts w:ascii="Wingdings" w:hAnsi="Wingdings" w:hint="default"/>
        <w:color w:val="000000" w:themeColor="accent4"/>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643342"/>
    <w:multiLevelType w:val="hybridMultilevel"/>
    <w:tmpl w:val="60B6B120"/>
    <w:lvl w:ilvl="0" w:tplc="ED009A7A">
      <w:start w:val="1"/>
      <w:numFmt w:val="bullet"/>
      <w:lvlText w:val=""/>
      <w:lvlJc w:val="left"/>
      <w:pPr>
        <w:ind w:left="720" w:hanging="360"/>
      </w:pPr>
      <w:rPr>
        <w:rFonts w:ascii="Wingdings" w:hAnsi="Wingdings" w:hint="default"/>
        <w:color w:val="7AB800"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1224F"/>
    <w:multiLevelType w:val="multilevel"/>
    <w:tmpl w:val="BDDC2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9316491">
    <w:abstractNumId w:val="3"/>
  </w:num>
  <w:num w:numId="2" w16cid:durableId="1143161513">
    <w:abstractNumId w:val="15"/>
  </w:num>
  <w:num w:numId="3" w16cid:durableId="577134515">
    <w:abstractNumId w:val="2"/>
  </w:num>
  <w:num w:numId="4" w16cid:durableId="454181001">
    <w:abstractNumId w:val="25"/>
  </w:num>
  <w:num w:numId="5" w16cid:durableId="622157044">
    <w:abstractNumId w:val="4"/>
  </w:num>
  <w:num w:numId="6" w16cid:durableId="1263223974">
    <w:abstractNumId w:val="13"/>
  </w:num>
  <w:num w:numId="7" w16cid:durableId="980620842">
    <w:abstractNumId w:val="29"/>
  </w:num>
  <w:num w:numId="8" w16cid:durableId="637537063">
    <w:abstractNumId w:val="22"/>
  </w:num>
  <w:num w:numId="9" w16cid:durableId="289436399">
    <w:abstractNumId w:val="26"/>
  </w:num>
  <w:num w:numId="10" w16cid:durableId="2052723828">
    <w:abstractNumId w:val="8"/>
  </w:num>
  <w:num w:numId="11" w16cid:durableId="351347097">
    <w:abstractNumId w:val="14"/>
  </w:num>
  <w:num w:numId="12" w16cid:durableId="1776556802">
    <w:abstractNumId w:val="1"/>
  </w:num>
  <w:num w:numId="13" w16cid:durableId="1932541581">
    <w:abstractNumId w:val="23"/>
  </w:num>
  <w:num w:numId="14" w16cid:durableId="121116328">
    <w:abstractNumId w:val="18"/>
  </w:num>
  <w:num w:numId="15" w16cid:durableId="12151617">
    <w:abstractNumId w:val="0"/>
  </w:num>
  <w:num w:numId="16" w16cid:durableId="1577519028">
    <w:abstractNumId w:val="28"/>
  </w:num>
  <w:num w:numId="17" w16cid:durableId="219829702">
    <w:abstractNumId w:val="19"/>
  </w:num>
  <w:num w:numId="18" w16cid:durableId="28385978">
    <w:abstractNumId w:val="21"/>
  </w:num>
  <w:num w:numId="19" w16cid:durableId="1687172914">
    <w:abstractNumId w:val="27"/>
  </w:num>
  <w:num w:numId="20" w16cid:durableId="755595389">
    <w:abstractNumId w:val="5"/>
  </w:num>
  <w:num w:numId="21" w16cid:durableId="1065877519">
    <w:abstractNumId w:val="7"/>
  </w:num>
  <w:num w:numId="22" w16cid:durableId="1678381526">
    <w:abstractNumId w:val="24"/>
  </w:num>
  <w:num w:numId="23" w16cid:durableId="1085953358">
    <w:abstractNumId w:val="6"/>
  </w:num>
  <w:num w:numId="24" w16cid:durableId="2009942286">
    <w:abstractNumId w:val="17"/>
  </w:num>
  <w:num w:numId="25" w16cid:durableId="604777335">
    <w:abstractNumId w:val="11"/>
  </w:num>
  <w:num w:numId="26" w16cid:durableId="964968806">
    <w:abstractNumId w:val="10"/>
  </w:num>
  <w:num w:numId="27" w16cid:durableId="1887908187">
    <w:abstractNumId w:val="16"/>
  </w:num>
  <w:num w:numId="28" w16cid:durableId="347025823">
    <w:abstractNumId w:val="30"/>
  </w:num>
  <w:num w:numId="29" w16cid:durableId="1801650952">
    <w:abstractNumId w:val="20"/>
  </w:num>
  <w:num w:numId="30" w16cid:durableId="1189173432">
    <w:abstractNumId w:val="9"/>
  </w:num>
  <w:num w:numId="31" w16cid:durableId="1650817586">
    <w:abstractNumId w:val="31"/>
  </w:num>
  <w:num w:numId="32" w16cid:durableId="157230398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62"/>
    <w:rsid w:val="000125EF"/>
    <w:rsid w:val="00017680"/>
    <w:rsid w:val="000240E4"/>
    <w:rsid w:val="00031D81"/>
    <w:rsid w:val="00033CF2"/>
    <w:rsid w:val="00035A71"/>
    <w:rsid w:val="00035C0C"/>
    <w:rsid w:val="00052582"/>
    <w:rsid w:val="00055235"/>
    <w:rsid w:val="000657D7"/>
    <w:rsid w:val="0007578A"/>
    <w:rsid w:val="0009186A"/>
    <w:rsid w:val="00092B66"/>
    <w:rsid w:val="00096990"/>
    <w:rsid w:val="000B713A"/>
    <w:rsid w:val="000C40D1"/>
    <w:rsid w:val="000C4C52"/>
    <w:rsid w:val="000C56B3"/>
    <w:rsid w:val="000D3FA0"/>
    <w:rsid w:val="000E400D"/>
    <w:rsid w:val="00100473"/>
    <w:rsid w:val="00117985"/>
    <w:rsid w:val="00122999"/>
    <w:rsid w:val="0012325E"/>
    <w:rsid w:val="00133047"/>
    <w:rsid w:val="001564AD"/>
    <w:rsid w:val="001664FB"/>
    <w:rsid w:val="001719AB"/>
    <w:rsid w:val="001743C5"/>
    <w:rsid w:val="001820F8"/>
    <w:rsid w:val="001A1E17"/>
    <w:rsid w:val="001B3CA8"/>
    <w:rsid w:val="001B42D1"/>
    <w:rsid w:val="001D23F5"/>
    <w:rsid w:val="001D76F9"/>
    <w:rsid w:val="001F28E9"/>
    <w:rsid w:val="00200086"/>
    <w:rsid w:val="00206152"/>
    <w:rsid w:val="002069CF"/>
    <w:rsid w:val="002276F5"/>
    <w:rsid w:val="002358D9"/>
    <w:rsid w:val="00250BB4"/>
    <w:rsid w:val="0025137E"/>
    <w:rsid w:val="00255F0E"/>
    <w:rsid w:val="00257A07"/>
    <w:rsid w:val="00262993"/>
    <w:rsid w:val="002651DD"/>
    <w:rsid w:val="00287C0A"/>
    <w:rsid w:val="00295746"/>
    <w:rsid w:val="002A21C4"/>
    <w:rsid w:val="002A4230"/>
    <w:rsid w:val="002A4AD3"/>
    <w:rsid w:val="002C46BD"/>
    <w:rsid w:val="002D2FA7"/>
    <w:rsid w:val="002E0F26"/>
    <w:rsid w:val="002E5FBE"/>
    <w:rsid w:val="002F371C"/>
    <w:rsid w:val="0031050A"/>
    <w:rsid w:val="00314140"/>
    <w:rsid w:val="00324575"/>
    <w:rsid w:val="003368FB"/>
    <w:rsid w:val="003438BF"/>
    <w:rsid w:val="00363F9C"/>
    <w:rsid w:val="00367E13"/>
    <w:rsid w:val="00367E98"/>
    <w:rsid w:val="003778F2"/>
    <w:rsid w:val="00382ABC"/>
    <w:rsid w:val="003852EE"/>
    <w:rsid w:val="003A3BCF"/>
    <w:rsid w:val="003B0CCE"/>
    <w:rsid w:val="003B4C0C"/>
    <w:rsid w:val="003B7334"/>
    <w:rsid w:val="003D2290"/>
    <w:rsid w:val="003E09C8"/>
    <w:rsid w:val="003E643F"/>
    <w:rsid w:val="003F2D43"/>
    <w:rsid w:val="003F4765"/>
    <w:rsid w:val="0040776C"/>
    <w:rsid w:val="00413E1D"/>
    <w:rsid w:val="00420336"/>
    <w:rsid w:val="00430B8D"/>
    <w:rsid w:val="00443880"/>
    <w:rsid w:val="00457E89"/>
    <w:rsid w:val="00460E89"/>
    <w:rsid w:val="004632B5"/>
    <w:rsid w:val="00465C12"/>
    <w:rsid w:val="00475F18"/>
    <w:rsid w:val="004773CC"/>
    <w:rsid w:val="00493B8A"/>
    <w:rsid w:val="004A664D"/>
    <w:rsid w:val="004B0AC7"/>
    <w:rsid w:val="004C1F62"/>
    <w:rsid w:val="004C25CB"/>
    <w:rsid w:val="004C4299"/>
    <w:rsid w:val="004D7243"/>
    <w:rsid w:val="004D7DA4"/>
    <w:rsid w:val="004E2358"/>
    <w:rsid w:val="004E3732"/>
    <w:rsid w:val="004E3ADE"/>
    <w:rsid w:val="004F26C1"/>
    <w:rsid w:val="0050020D"/>
    <w:rsid w:val="0050059F"/>
    <w:rsid w:val="00512FA0"/>
    <w:rsid w:val="005132A1"/>
    <w:rsid w:val="005205AC"/>
    <w:rsid w:val="00521303"/>
    <w:rsid w:val="0052332A"/>
    <w:rsid w:val="00530F46"/>
    <w:rsid w:val="005327B6"/>
    <w:rsid w:val="005467CB"/>
    <w:rsid w:val="00554EBF"/>
    <w:rsid w:val="0055681C"/>
    <w:rsid w:val="00571DDD"/>
    <w:rsid w:val="0057264D"/>
    <w:rsid w:val="005731C1"/>
    <w:rsid w:val="00576473"/>
    <w:rsid w:val="00582299"/>
    <w:rsid w:val="00590BE0"/>
    <w:rsid w:val="005A1E8B"/>
    <w:rsid w:val="005B5B80"/>
    <w:rsid w:val="005C34B3"/>
    <w:rsid w:val="005C4131"/>
    <w:rsid w:val="005C732D"/>
    <w:rsid w:val="005F6304"/>
    <w:rsid w:val="005F652C"/>
    <w:rsid w:val="00605DA1"/>
    <w:rsid w:val="006135F1"/>
    <w:rsid w:val="0061641D"/>
    <w:rsid w:val="00623CDB"/>
    <w:rsid w:val="00623E04"/>
    <w:rsid w:val="006278F2"/>
    <w:rsid w:val="006353C7"/>
    <w:rsid w:val="00635EE7"/>
    <w:rsid w:val="00651212"/>
    <w:rsid w:val="00655EEC"/>
    <w:rsid w:val="00656BE3"/>
    <w:rsid w:val="006649F0"/>
    <w:rsid w:val="00664F43"/>
    <w:rsid w:val="0067204B"/>
    <w:rsid w:val="006831C2"/>
    <w:rsid w:val="00690FC1"/>
    <w:rsid w:val="00695B08"/>
    <w:rsid w:val="006B1C43"/>
    <w:rsid w:val="006C09AC"/>
    <w:rsid w:val="006C7858"/>
    <w:rsid w:val="006C78A4"/>
    <w:rsid w:val="006D4531"/>
    <w:rsid w:val="006D6A8F"/>
    <w:rsid w:val="006F3FA5"/>
    <w:rsid w:val="006F40CB"/>
    <w:rsid w:val="006F529C"/>
    <w:rsid w:val="006F73A2"/>
    <w:rsid w:val="00700C74"/>
    <w:rsid w:val="00701431"/>
    <w:rsid w:val="007039A7"/>
    <w:rsid w:val="00706529"/>
    <w:rsid w:val="0071106A"/>
    <w:rsid w:val="007119C6"/>
    <w:rsid w:val="007142A6"/>
    <w:rsid w:val="00714798"/>
    <w:rsid w:val="007168BF"/>
    <w:rsid w:val="00723B63"/>
    <w:rsid w:val="007242C5"/>
    <w:rsid w:val="007305F4"/>
    <w:rsid w:val="00731188"/>
    <w:rsid w:val="00746226"/>
    <w:rsid w:val="00746DD0"/>
    <w:rsid w:val="00755439"/>
    <w:rsid w:val="00770F40"/>
    <w:rsid w:val="0077309C"/>
    <w:rsid w:val="00773829"/>
    <w:rsid w:val="00782142"/>
    <w:rsid w:val="007849FB"/>
    <w:rsid w:val="007852D5"/>
    <w:rsid w:val="0079032B"/>
    <w:rsid w:val="00792FD5"/>
    <w:rsid w:val="007945C1"/>
    <w:rsid w:val="007A1BFF"/>
    <w:rsid w:val="007A2D1F"/>
    <w:rsid w:val="007A6168"/>
    <w:rsid w:val="007A6B7D"/>
    <w:rsid w:val="007A70A7"/>
    <w:rsid w:val="007C570A"/>
    <w:rsid w:val="007D3306"/>
    <w:rsid w:val="007D5557"/>
    <w:rsid w:val="008013B4"/>
    <w:rsid w:val="00806831"/>
    <w:rsid w:val="00807604"/>
    <w:rsid w:val="008078DD"/>
    <w:rsid w:val="00810ECE"/>
    <w:rsid w:val="0081169D"/>
    <w:rsid w:val="00813331"/>
    <w:rsid w:val="00817FC0"/>
    <w:rsid w:val="00826523"/>
    <w:rsid w:val="00827624"/>
    <w:rsid w:val="008527E3"/>
    <w:rsid w:val="00855EF8"/>
    <w:rsid w:val="00861280"/>
    <w:rsid w:val="0087146C"/>
    <w:rsid w:val="00873996"/>
    <w:rsid w:val="00881A7A"/>
    <w:rsid w:val="008860B0"/>
    <w:rsid w:val="00895A56"/>
    <w:rsid w:val="008A1878"/>
    <w:rsid w:val="008A32F8"/>
    <w:rsid w:val="008A3626"/>
    <w:rsid w:val="008B1F2B"/>
    <w:rsid w:val="008B7FF0"/>
    <w:rsid w:val="008D51D4"/>
    <w:rsid w:val="008E240E"/>
    <w:rsid w:val="008E4794"/>
    <w:rsid w:val="008E4CB5"/>
    <w:rsid w:val="008F1E1C"/>
    <w:rsid w:val="008F5B0F"/>
    <w:rsid w:val="00903D38"/>
    <w:rsid w:val="009117D5"/>
    <w:rsid w:val="0092123D"/>
    <w:rsid w:val="009324DA"/>
    <w:rsid w:val="00937690"/>
    <w:rsid w:val="00940CC4"/>
    <w:rsid w:val="009448DE"/>
    <w:rsid w:val="00955D94"/>
    <w:rsid w:val="00966628"/>
    <w:rsid w:val="00972108"/>
    <w:rsid w:val="00997CF9"/>
    <w:rsid w:val="009B3D0D"/>
    <w:rsid w:val="009B7AE2"/>
    <w:rsid w:val="009C02EE"/>
    <w:rsid w:val="009C04CD"/>
    <w:rsid w:val="009C5364"/>
    <w:rsid w:val="009C5812"/>
    <w:rsid w:val="009F08FA"/>
    <w:rsid w:val="00A10EC5"/>
    <w:rsid w:val="00A1160B"/>
    <w:rsid w:val="00A14338"/>
    <w:rsid w:val="00A16050"/>
    <w:rsid w:val="00A162C2"/>
    <w:rsid w:val="00A20B21"/>
    <w:rsid w:val="00A20EF4"/>
    <w:rsid w:val="00A318FB"/>
    <w:rsid w:val="00A355C2"/>
    <w:rsid w:val="00A356B2"/>
    <w:rsid w:val="00A35AD1"/>
    <w:rsid w:val="00A6748C"/>
    <w:rsid w:val="00A7749E"/>
    <w:rsid w:val="00A81F28"/>
    <w:rsid w:val="00A84C87"/>
    <w:rsid w:val="00A87474"/>
    <w:rsid w:val="00A90C9C"/>
    <w:rsid w:val="00A923C0"/>
    <w:rsid w:val="00A9331A"/>
    <w:rsid w:val="00AA284A"/>
    <w:rsid w:val="00AA3B70"/>
    <w:rsid w:val="00AA3EEB"/>
    <w:rsid w:val="00AB67DB"/>
    <w:rsid w:val="00AC2EF7"/>
    <w:rsid w:val="00AD58B8"/>
    <w:rsid w:val="00AD7F97"/>
    <w:rsid w:val="00AE54F5"/>
    <w:rsid w:val="00AF0AC4"/>
    <w:rsid w:val="00AF2784"/>
    <w:rsid w:val="00AF346B"/>
    <w:rsid w:val="00B05F84"/>
    <w:rsid w:val="00B06543"/>
    <w:rsid w:val="00B20A53"/>
    <w:rsid w:val="00B244B3"/>
    <w:rsid w:val="00B25665"/>
    <w:rsid w:val="00B435A4"/>
    <w:rsid w:val="00B4398E"/>
    <w:rsid w:val="00B44704"/>
    <w:rsid w:val="00B45150"/>
    <w:rsid w:val="00B477EC"/>
    <w:rsid w:val="00B66A7F"/>
    <w:rsid w:val="00B75EAF"/>
    <w:rsid w:val="00B82597"/>
    <w:rsid w:val="00B834FF"/>
    <w:rsid w:val="00B973A9"/>
    <w:rsid w:val="00BA63B6"/>
    <w:rsid w:val="00BA7EC4"/>
    <w:rsid w:val="00BB1CB2"/>
    <w:rsid w:val="00BC0CF5"/>
    <w:rsid w:val="00BC2C84"/>
    <w:rsid w:val="00BC72F4"/>
    <w:rsid w:val="00BE0591"/>
    <w:rsid w:val="00BE0EC4"/>
    <w:rsid w:val="00BE26C0"/>
    <w:rsid w:val="00BE5A6C"/>
    <w:rsid w:val="00BF395C"/>
    <w:rsid w:val="00C025B6"/>
    <w:rsid w:val="00C0539C"/>
    <w:rsid w:val="00C07DA0"/>
    <w:rsid w:val="00C20822"/>
    <w:rsid w:val="00C24204"/>
    <w:rsid w:val="00C251E5"/>
    <w:rsid w:val="00C35797"/>
    <w:rsid w:val="00C360AF"/>
    <w:rsid w:val="00C40F33"/>
    <w:rsid w:val="00C410D3"/>
    <w:rsid w:val="00C41D49"/>
    <w:rsid w:val="00C45951"/>
    <w:rsid w:val="00C45B10"/>
    <w:rsid w:val="00C50CC8"/>
    <w:rsid w:val="00C54A79"/>
    <w:rsid w:val="00C55595"/>
    <w:rsid w:val="00C56A1F"/>
    <w:rsid w:val="00C648D9"/>
    <w:rsid w:val="00C71494"/>
    <w:rsid w:val="00C7258C"/>
    <w:rsid w:val="00C80246"/>
    <w:rsid w:val="00C804A4"/>
    <w:rsid w:val="00C84FDB"/>
    <w:rsid w:val="00C875FA"/>
    <w:rsid w:val="00C87A0D"/>
    <w:rsid w:val="00C90323"/>
    <w:rsid w:val="00CA2DFF"/>
    <w:rsid w:val="00CA51ED"/>
    <w:rsid w:val="00CB679A"/>
    <w:rsid w:val="00CC3945"/>
    <w:rsid w:val="00CC5405"/>
    <w:rsid w:val="00CD2B1B"/>
    <w:rsid w:val="00CD2D1D"/>
    <w:rsid w:val="00CE0EBE"/>
    <w:rsid w:val="00CE69AE"/>
    <w:rsid w:val="00D022FF"/>
    <w:rsid w:val="00D04CB9"/>
    <w:rsid w:val="00D07381"/>
    <w:rsid w:val="00D10125"/>
    <w:rsid w:val="00D13249"/>
    <w:rsid w:val="00D250F7"/>
    <w:rsid w:val="00D320F5"/>
    <w:rsid w:val="00D340A6"/>
    <w:rsid w:val="00D40264"/>
    <w:rsid w:val="00D413B3"/>
    <w:rsid w:val="00D42CD8"/>
    <w:rsid w:val="00D50FF5"/>
    <w:rsid w:val="00D51415"/>
    <w:rsid w:val="00D56D62"/>
    <w:rsid w:val="00D600F7"/>
    <w:rsid w:val="00D6398C"/>
    <w:rsid w:val="00D639D4"/>
    <w:rsid w:val="00D67E58"/>
    <w:rsid w:val="00D70D43"/>
    <w:rsid w:val="00D77A89"/>
    <w:rsid w:val="00D8185E"/>
    <w:rsid w:val="00D86587"/>
    <w:rsid w:val="00D9490C"/>
    <w:rsid w:val="00D97386"/>
    <w:rsid w:val="00DA32B7"/>
    <w:rsid w:val="00DC706B"/>
    <w:rsid w:val="00DD390C"/>
    <w:rsid w:val="00DD7615"/>
    <w:rsid w:val="00DE0A31"/>
    <w:rsid w:val="00DE46F6"/>
    <w:rsid w:val="00DF127F"/>
    <w:rsid w:val="00E02A16"/>
    <w:rsid w:val="00E06A7A"/>
    <w:rsid w:val="00E157FA"/>
    <w:rsid w:val="00E26D5D"/>
    <w:rsid w:val="00E308B2"/>
    <w:rsid w:val="00E32EE9"/>
    <w:rsid w:val="00E723B0"/>
    <w:rsid w:val="00E91A9C"/>
    <w:rsid w:val="00EA0751"/>
    <w:rsid w:val="00EA2F13"/>
    <w:rsid w:val="00EA5E6E"/>
    <w:rsid w:val="00EB5D62"/>
    <w:rsid w:val="00ED663C"/>
    <w:rsid w:val="00EF0467"/>
    <w:rsid w:val="00EF110F"/>
    <w:rsid w:val="00EF2A72"/>
    <w:rsid w:val="00F1141E"/>
    <w:rsid w:val="00F11A1D"/>
    <w:rsid w:val="00F54036"/>
    <w:rsid w:val="00F54317"/>
    <w:rsid w:val="00F5572C"/>
    <w:rsid w:val="00F758DF"/>
    <w:rsid w:val="00F76543"/>
    <w:rsid w:val="00F90DD5"/>
    <w:rsid w:val="00F9485F"/>
    <w:rsid w:val="00FA2652"/>
    <w:rsid w:val="00FA2B22"/>
    <w:rsid w:val="00FB15F3"/>
    <w:rsid w:val="00FB1C27"/>
    <w:rsid w:val="00FC4730"/>
    <w:rsid w:val="00FC4B15"/>
    <w:rsid w:val="00FC6399"/>
    <w:rsid w:val="00FC71A7"/>
    <w:rsid w:val="00FF056F"/>
    <w:rsid w:val="00FF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5A355"/>
  <w15:chartTrackingRefBased/>
  <w15:docId w15:val="{E9E72610-1519-417B-8D0B-C798045D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59F"/>
    <w:rPr>
      <w:color w:val="404040" w:themeColor="text1" w:themeTint="BF"/>
      <w:sz w:val="20"/>
      <w:szCs w:val="20"/>
    </w:rPr>
  </w:style>
  <w:style w:type="paragraph" w:styleId="Heading1">
    <w:name w:val="heading 1"/>
    <w:basedOn w:val="Normal"/>
    <w:next w:val="Normal"/>
    <w:link w:val="Heading1Char"/>
    <w:uiPriority w:val="9"/>
    <w:qFormat/>
    <w:rsid w:val="005A1E8B"/>
    <w:pPr>
      <w:keepNext/>
      <w:keepLines/>
      <w:spacing w:before="400" w:after="40" w:line="240" w:lineRule="auto"/>
      <w:outlineLvl w:val="0"/>
    </w:pPr>
    <w:rPr>
      <w:rFonts w:asciiTheme="majorHAnsi" w:eastAsiaTheme="majorEastAsia" w:hAnsiTheme="majorHAnsi" w:cstheme="majorBidi"/>
      <w:b/>
      <w:color w:val="009AA6" w:themeColor="text2"/>
      <w:sz w:val="52"/>
      <w:szCs w:val="52"/>
    </w:rPr>
  </w:style>
  <w:style w:type="paragraph" w:styleId="Heading2">
    <w:name w:val="heading 2"/>
    <w:basedOn w:val="Normal"/>
    <w:next w:val="Normal"/>
    <w:link w:val="Heading2Char"/>
    <w:uiPriority w:val="9"/>
    <w:unhideWhenUsed/>
    <w:qFormat/>
    <w:rsid w:val="002E5FBE"/>
    <w:pPr>
      <w:outlineLvl w:val="1"/>
    </w:pPr>
    <w:rPr>
      <w:sz w:val="40"/>
      <w:szCs w:val="40"/>
    </w:rPr>
  </w:style>
  <w:style w:type="paragraph" w:styleId="Heading3">
    <w:name w:val="heading 3"/>
    <w:basedOn w:val="Normal"/>
    <w:next w:val="Normal"/>
    <w:link w:val="Heading3Char"/>
    <w:uiPriority w:val="9"/>
    <w:unhideWhenUsed/>
    <w:qFormat/>
    <w:rsid w:val="005A1E8B"/>
    <w:pPr>
      <w:outlineLvl w:val="2"/>
    </w:pPr>
    <w:rPr>
      <w:color w:val="009AA6" w:themeColor="text2"/>
      <w:sz w:val="28"/>
      <w:szCs w:val="28"/>
    </w:rPr>
  </w:style>
  <w:style w:type="paragraph" w:styleId="Heading4">
    <w:name w:val="heading 4"/>
    <w:basedOn w:val="Normal"/>
    <w:next w:val="Normal"/>
    <w:link w:val="Heading4Char"/>
    <w:uiPriority w:val="9"/>
    <w:unhideWhenUsed/>
    <w:qFormat/>
    <w:rsid w:val="002E5FBE"/>
    <w:pPr>
      <w:outlineLvl w:val="3"/>
    </w:pPr>
    <w:rPr>
      <w:b/>
      <w:color w:val="595959" w:themeColor="text1" w:themeTint="A6"/>
    </w:rPr>
  </w:style>
  <w:style w:type="paragraph" w:styleId="Heading5">
    <w:name w:val="heading 5"/>
    <w:basedOn w:val="Normal"/>
    <w:next w:val="Normal"/>
    <w:link w:val="Heading5Char"/>
    <w:uiPriority w:val="9"/>
    <w:unhideWhenUsed/>
    <w:qFormat/>
    <w:rsid w:val="0050059F"/>
    <w:pPr>
      <w:outlineLvl w:val="4"/>
    </w:pPr>
    <w:rPr>
      <w:b/>
      <w:color w:val="595959" w:themeColor="text1" w:themeTint="A6"/>
    </w:rPr>
  </w:style>
  <w:style w:type="paragraph" w:styleId="Heading6">
    <w:name w:val="heading 6"/>
    <w:basedOn w:val="Normal"/>
    <w:next w:val="Normal"/>
    <w:link w:val="Heading6Char"/>
    <w:uiPriority w:val="9"/>
    <w:unhideWhenUsed/>
    <w:qFormat/>
    <w:rsid w:val="00E157FA"/>
    <w:pPr>
      <w:keepNext/>
      <w:keepLines/>
      <w:spacing w:before="40" w:after="0"/>
      <w:outlineLvl w:val="5"/>
    </w:pPr>
    <w:rPr>
      <w:rFonts w:asciiTheme="majorHAnsi" w:eastAsiaTheme="majorEastAsia" w:hAnsiTheme="majorHAnsi" w:cstheme="majorBidi"/>
      <w:i/>
      <w:iCs/>
      <w:caps/>
      <w:color w:val="FF6D14" w:themeColor="accent1"/>
      <w14:textFill>
        <w14:solidFill>
          <w14:schemeClr w14:val="accent1">
            <w14:lumMod w14:val="50000"/>
            <w14:lumMod w14:val="75000"/>
            <w14:lumOff w14:val="25000"/>
          </w14:schemeClr>
        </w14:solidFill>
      </w14:textFill>
    </w:rPr>
  </w:style>
  <w:style w:type="paragraph" w:styleId="Heading7">
    <w:name w:val="heading 7"/>
    <w:basedOn w:val="Normal"/>
    <w:next w:val="Normal"/>
    <w:link w:val="Heading7Char"/>
    <w:uiPriority w:val="9"/>
    <w:unhideWhenUsed/>
    <w:qFormat/>
    <w:rsid w:val="00E157FA"/>
    <w:pPr>
      <w:keepNext/>
      <w:keepLines/>
      <w:spacing w:before="40" w:after="0"/>
      <w:outlineLvl w:val="6"/>
    </w:pPr>
    <w:rPr>
      <w:rFonts w:asciiTheme="majorHAnsi" w:eastAsiaTheme="majorEastAsia" w:hAnsiTheme="majorHAnsi" w:cstheme="majorBidi"/>
      <w:b/>
      <w:bCs/>
      <w:color w:val="FF6D14" w:themeColor="accent1"/>
      <w14:textFill>
        <w14:solidFill>
          <w14:schemeClr w14:val="accent1">
            <w14:lumMod w14:val="50000"/>
            <w14:lumMod w14:val="75000"/>
            <w14:lumOff w14:val="25000"/>
          </w14:schemeClr>
        </w14:solidFill>
      </w14:textFill>
    </w:rPr>
  </w:style>
  <w:style w:type="paragraph" w:styleId="Heading8">
    <w:name w:val="heading 8"/>
    <w:basedOn w:val="Normal"/>
    <w:next w:val="Normal"/>
    <w:link w:val="Heading8Char"/>
    <w:uiPriority w:val="9"/>
    <w:unhideWhenUsed/>
    <w:qFormat/>
    <w:rsid w:val="00E157FA"/>
    <w:pPr>
      <w:keepNext/>
      <w:keepLines/>
      <w:spacing w:before="40" w:after="0"/>
      <w:outlineLvl w:val="7"/>
    </w:pPr>
    <w:rPr>
      <w:rFonts w:asciiTheme="majorHAnsi" w:eastAsiaTheme="majorEastAsia" w:hAnsiTheme="majorHAnsi" w:cstheme="majorBidi"/>
      <w:b/>
      <w:bCs/>
      <w:i/>
      <w:iCs/>
      <w:color w:val="FF6D14" w:themeColor="accent1"/>
      <w14:textFill>
        <w14:solidFill>
          <w14:schemeClr w14:val="accent1">
            <w14:lumMod w14:val="50000"/>
            <w14:lumMod w14:val="75000"/>
            <w14:lumOff w14:val="25000"/>
          </w14:schemeClr>
        </w14:solidFill>
      </w14:textFill>
    </w:rPr>
  </w:style>
  <w:style w:type="paragraph" w:styleId="Heading9">
    <w:name w:val="heading 9"/>
    <w:basedOn w:val="Normal"/>
    <w:next w:val="Normal"/>
    <w:link w:val="Heading9Char"/>
    <w:uiPriority w:val="9"/>
    <w:unhideWhenUsed/>
    <w:qFormat/>
    <w:rsid w:val="00E157FA"/>
    <w:pPr>
      <w:keepNext/>
      <w:keepLines/>
      <w:spacing w:before="40" w:after="0"/>
      <w:outlineLvl w:val="8"/>
    </w:pPr>
    <w:rPr>
      <w:rFonts w:asciiTheme="majorHAnsi" w:eastAsiaTheme="majorEastAsia" w:hAnsiTheme="majorHAnsi" w:cstheme="majorBidi"/>
      <w:i/>
      <w:iCs/>
      <w:color w:val="FF6D14" w:themeColor="accent1"/>
      <w14:textFill>
        <w14:solidFill>
          <w14:schemeClr w14:val="accent1">
            <w14:lumMod w14:val="50000"/>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FBE"/>
    <w:rPr>
      <w:sz w:val="40"/>
      <w:szCs w:val="40"/>
    </w:rPr>
  </w:style>
  <w:style w:type="character" w:customStyle="1" w:styleId="Char">
    <w:name w:val="Char"/>
    <w:basedOn w:val="DefaultParagraphFont"/>
    <w:uiPriority w:val="99"/>
    <w:rsid w:val="00530F46"/>
    <w:rPr>
      <w:rFonts w:cs="Arial"/>
      <w:bCs/>
      <w:iCs/>
      <w:sz w:val="24"/>
      <w:szCs w:val="24"/>
      <w:lang w:val="en-US" w:eastAsia="en-US" w:bidi="ar-SA"/>
    </w:rPr>
  </w:style>
  <w:style w:type="character" w:customStyle="1" w:styleId="black">
    <w:name w:val="black"/>
    <w:basedOn w:val="DefaultParagraphFont"/>
    <w:rsid w:val="00530F46"/>
  </w:style>
  <w:style w:type="character" w:customStyle="1" w:styleId="tslul1">
    <w:name w:val="tslul1"/>
    <w:basedOn w:val="DefaultParagraphFont"/>
    <w:rsid w:val="00530F46"/>
    <w:rPr>
      <w:color w:val="CC0000"/>
      <w:u w:val="single"/>
    </w:rPr>
  </w:style>
  <w:style w:type="character" w:customStyle="1" w:styleId="Heading1Char">
    <w:name w:val="Heading 1 Char"/>
    <w:basedOn w:val="DefaultParagraphFont"/>
    <w:link w:val="Heading1"/>
    <w:uiPriority w:val="9"/>
    <w:rsid w:val="005A1E8B"/>
    <w:rPr>
      <w:rFonts w:asciiTheme="majorHAnsi" w:eastAsiaTheme="majorEastAsia" w:hAnsiTheme="majorHAnsi" w:cstheme="majorBidi"/>
      <w:b/>
      <w:color w:val="009AA6" w:themeColor="text2"/>
      <w:sz w:val="52"/>
      <w:szCs w:val="52"/>
    </w:rPr>
  </w:style>
  <w:style w:type="character" w:customStyle="1" w:styleId="Heading2Char1">
    <w:name w:val="Heading 2 Char1"/>
    <w:basedOn w:val="DefaultParagraphFont"/>
    <w:uiPriority w:val="99"/>
    <w:rsid w:val="00530F46"/>
    <w:rPr>
      <w:rFonts w:ascii="Times New Roman" w:eastAsia="Calibri" w:hAnsi="Times New Roman" w:cs="Arial"/>
      <w:bCs/>
      <w:iCs/>
      <w:sz w:val="24"/>
      <w:szCs w:val="24"/>
    </w:rPr>
  </w:style>
  <w:style w:type="character" w:customStyle="1" w:styleId="Heading3Char">
    <w:name w:val="Heading 3 Char"/>
    <w:basedOn w:val="DefaultParagraphFont"/>
    <w:link w:val="Heading3"/>
    <w:uiPriority w:val="9"/>
    <w:rsid w:val="005A1E8B"/>
    <w:rPr>
      <w:color w:val="009AA6" w:themeColor="text2"/>
      <w:sz w:val="28"/>
      <w:szCs w:val="28"/>
    </w:rPr>
  </w:style>
  <w:style w:type="character" w:customStyle="1" w:styleId="Heading4Char">
    <w:name w:val="Heading 4 Char"/>
    <w:basedOn w:val="DefaultParagraphFont"/>
    <w:link w:val="Heading4"/>
    <w:uiPriority w:val="9"/>
    <w:rsid w:val="002E5FBE"/>
    <w:rPr>
      <w:b/>
      <w:color w:val="595959" w:themeColor="text1" w:themeTint="A6"/>
    </w:rPr>
  </w:style>
  <w:style w:type="character" w:customStyle="1" w:styleId="Heading5Char">
    <w:name w:val="Heading 5 Char"/>
    <w:basedOn w:val="DefaultParagraphFont"/>
    <w:link w:val="Heading5"/>
    <w:uiPriority w:val="9"/>
    <w:rsid w:val="0050059F"/>
    <w:rPr>
      <w:b/>
      <w:color w:val="595959" w:themeColor="text1" w:themeTint="A6"/>
      <w:sz w:val="20"/>
      <w:szCs w:val="20"/>
    </w:rPr>
  </w:style>
  <w:style w:type="character" w:customStyle="1" w:styleId="Heading6Char">
    <w:name w:val="Heading 6 Char"/>
    <w:basedOn w:val="DefaultParagraphFont"/>
    <w:link w:val="Heading6"/>
    <w:uiPriority w:val="9"/>
    <w:rsid w:val="00E157FA"/>
    <w:rPr>
      <w:rFonts w:asciiTheme="majorHAnsi" w:eastAsiaTheme="majorEastAsia" w:hAnsiTheme="majorHAnsi" w:cstheme="majorBidi"/>
      <w:i/>
      <w:iCs/>
      <w:caps/>
      <w:color w:val="8A3300" w:themeColor="accent1" w:themeShade="80"/>
    </w:rPr>
  </w:style>
  <w:style w:type="character" w:customStyle="1" w:styleId="Heading7Char">
    <w:name w:val="Heading 7 Char"/>
    <w:basedOn w:val="DefaultParagraphFont"/>
    <w:link w:val="Heading7"/>
    <w:uiPriority w:val="9"/>
    <w:rsid w:val="00E157FA"/>
    <w:rPr>
      <w:rFonts w:asciiTheme="majorHAnsi" w:eastAsiaTheme="majorEastAsia" w:hAnsiTheme="majorHAnsi" w:cstheme="majorBidi"/>
      <w:b/>
      <w:bCs/>
      <w:color w:val="8A3300" w:themeColor="accent1" w:themeShade="80"/>
    </w:rPr>
  </w:style>
  <w:style w:type="character" w:customStyle="1" w:styleId="Heading8Char">
    <w:name w:val="Heading 8 Char"/>
    <w:basedOn w:val="DefaultParagraphFont"/>
    <w:link w:val="Heading8"/>
    <w:uiPriority w:val="9"/>
    <w:rsid w:val="00E157FA"/>
    <w:rPr>
      <w:rFonts w:asciiTheme="majorHAnsi" w:eastAsiaTheme="majorEastAsia" w:hAnsiTheme="majorHAnsi" w:cstheme="majorBidi"/>
      <w:b/>
      <w:bCs/>
      <w:i/>
      <w:iCs/>
      <w:color w:val="8A3300" w:themeColor="accent1" w:themeShade="80"/>
    </w:rPr>
  </w:style>
  <w:style w:type="character" w:customStyle="1" w:styleId="Heading9Char">
    <w:name w:val="Heading 9 Char"/>
    <w:basedOn w:val="DefaultParagraphFont"/>
    <w:link w:val="Heading9"/>
    <w:uiPriority w:val="9"/>
    <w:rsid w:val="00E157FA"/>
    <w:rPr>
      <w:rFonts w:asciiTheme="majorHAnsi" w:eastAsiaTheme="majorEastAsia" w:hAnsiTheme="majorHAnsi" w:cstheme="majorBidi"/>
      <w:i/>
      <w:iCs/>
      <w:color w:val="8A3300" w:themeColor="accent1" w:themeShade="80"/>
    </w:rPr>
  </w:style>
  <w:style w:type="paragraph" w:styleId="CommentText">
    <w:name w:val="annotation text"/>
    <w:basedOn w:val="Normal"/>
    <w:link w:val="CommentTextChar"/>
    <w:uiPriority w:val="99"/>
    <w:unhideWhenUsed/>
    <w:rsid w:val="00530F46"/>
  </w:style>
  <w:style w:type="character" w:customStyle="1" w:styleId="CommentTextChar">
    <w:name w:val="Comment Text Char"/>
    <w:basedOn w:val="DefaultParagraphFont"/>
    <w:link w:val="CommentText"/>
    <w:uiPriority w:val="99"/>
    <w:rsid w:val="00530F46"/>
    <w:rPr>
      <w:rFonts w:eastAsia="Calibri"/>
    </w:rPr>
  </w:style>
  <w:style w:type="paragraph" w:styleId="Header">
    <w:name w:val="header"/>
    <w:basedOn w:val="Normal"/>
    <w:link w:val="HeaderChar"/>
    <w:uiPriority w:val="99"/>
    <w:unhideWhenUsed/>
    <w:rsid w:val="00530F46"/>
    <w:pPr>
      <w:tabs>
        <w:tab w:val="center" w:pos="4680"/>
        <w:tab w:val="right" w:pos="9360"/>
      </w:tabs>
    </w:pPr>
  </w:style>
  <w:style w:type="character" w:customStyle="1" w:styleId="HeaderChar">
    <w:name w:val="Header Char"/>
    <w:link w:val="Header"/>
    <w:uiPriority w:val="99"/>
    <w:rsid w:val="00530F46"/>
    <w:rPr>
      <w:rFonts w:eastAsia="Calibri"/>
    </w:rPr>
  </w:style>
  <w:style w:type="paragraph" w:styleId="Footer">
    <w:name w:val="footer"/>
    <w:basedOn w:val="Normal"/>
    <w:link w:val="FooterChar"/>
    <w:uiPriority w:val="99"/>
    <w:unhideWhenUsed/>
    <w:rsid w:val="00530F46"/>
    <w:pPr>
      <w:tabs>
        <w:tab w:val="center" w:pos="4680"/>
        <w:tab w:val="right" w:pos="9360"/>
      </w:tabs>
    </w:pPr>
  </w:style>
  <w:style w:type="character" w:customStyle="1" w:styleId="FooterChar">
    <w:name w:val="Footer Char"/>
    <w:link w:val="Footer"/>
    <w:uiPriority w:val="99"/>
    <w:rsid w:val="00530F46"/>
    <w:rPr>
      <w:rFonts w:eastAsia="Calibri"/>
    </w:rPr>
  </w:style>
  <w:style w:type="character" w:styleId="CommentReference">
    <w:name w:val="annotation reference"/>
    <w:uiPriority w:val="99"/>
    <w:semiHidden/>
    <w:unhideWhenUsed/>
    <w:rsid w:val="00530F46"/>
    <w:rPr>
      <w:sz w:val="16"/>
      <w:szCs w:val="16"/>
    </w:rPr>
  </w:style>
  <w:style w:type="character" w:styleId="Hyperlink">
    <w:name w:val="Hyperlink"/>
    <w:uiPriority w:val="99"/>
    <w:unhideWhenUsed/>
    <w:rsid w:val="00530F46"/>
    <w:rPr>
      <w:color w:val="0000FF"/>
      <w:u w:val="single"/>
    </w:rPr>
  </w:style>
  <w:style w:type="paragraph" w:styleId="CommentSubject">
    <w:name w:val="annotation subject"/>
    <w:basedOn w:val="CommentText"/>
    <w:next w:val="CommentText"/>
    <w:link w:val="CommentSubjectChar"/>
    <w:uiPriority w:val="99"/>
    <w:semiHidden/>
    <w:unhideWhenUsed/>
    <w:rsid w:val="00530F46"/>
    <w:rPr>
      <w:b/>
      <w:bCs/>
    </w:rPr>
  </w:style>
  <w:style w:type="character" w:customStyle="1" w:styleId="CommentSubjectChar">
    <w:name w:val="Comment Subject Char"/>
    <w:link w:val="CommentSubject"/>
    <w:uiPriority w:val="99"/>
    <w:semiHidden/>
    <w:rsid w:val="00530F46"/>
    <w:rPr>
      <w:rFonts w:eastAsia="Calibri"/>
      <w:b/>
      <w:bCs/>
    </w:rPr>
  </w:style>
  <w:style w:type="paragraph" w:styleId="BalloonText">
    <w:name w:val="Balloon Text"/>
    <w:basedOn w:val="Normal"/>
    <w:link w:val="BalloonTextChar"/>
    <w:uiPriority w:val="99"/>
    <w:semiHidden/>
    <w:unhideWhenUsed/>
    <w:rsid w:val="00530F46"/>
    <w:rPr>
      <w:rFonts w:ascii="Tahoma" w:hAnsi="Tahoma" w:cs="Tahoma"/>
      <w:sz w:val="16"/>
      <w:szCs w:val="16"/>
    </w:rPr>
  </w:style>
  <w:style w:type="character" w:customStyle="1" w:styleId="BalloonTextChar">
    <w:name w:val="Balloon Text Char"/>
    <w:link w:val="BalloonText"/>
    <w:uiPriority w:val="99"/>
    <w:semiHidden/>
    <w:rsid w:val="00530F46"/>
    <w:rPr>
      <w:rFonts w:ascii="Tahoma" w:eastAsia="Calibri" w:hAnsi="Tahoma" w:cs="Tahoma"/>
      <w:sz w:val="16"/>
      <w:szCs w:val="16"/>
    </w:rPr>
  </w:style>
  <w:style w:type="table" w:styleId="TableGrid">
    <w:name w:val="Table Grid"/>
    <w:basedOn w:val="TableNormal"/>
    <w:uiPriority w:val="39"/>
    <w:rsid w:val="00530F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0F46"/>
    <w:pPr>
      <w:ind w:left="720"/>
      <w:contextualSpacing/>
    </w:pPr>
  </w:style>
  <w:style w:type="paragraph" w:styleId="Title">
    <w:name w:val="Title"/>
    <w:basedOn w:val="Normal"/>
    <w:next w:val="Normal"/>
    <w:link w:val="TitleChar"/>
    <w:uiPriority w:val="10"/>
    <w:qFormat/>
    <w:rsid w:val="005A1E8B"/>
    <w:pPr>
      <w:spacing w:after="0" w:line="204" w:lineRule="auto"/>
      <w:contextualSpacing/>
    </w:pPr>
    <w:rPr>
      <w:rFonts w:asciiTheme="majorHAnsi" w:eastAsiaTheme="majorEastAsia" w:hAnsiTheme="majorHAnsi" w:cstheme="majorBidi"/>
      <w:caps/>
      <w:noProof/>
      <w:color w:val="009AA6" w:themeColor="text2"/>
      <w:spacing w:val="-15"/>
      <w:sz w:val="72"/>
      <w:szCs w:val="72"/>
    </w:rPr>
  </w:style>
  <w:style w:type="character" w:customStyle="1" w:styleId="TitleChar">
    <w:name w:val="Title Char"/>
    <w:basedOn w:val="DefaultParagraphFont"/>
    <w:link w:val="Title"/>
    <w:uiPriority w:val="10"/>
    <w:rsid w:val="005A1E8B"/>
    <w:rPr>
      <w:rFonts w:asciiTheme="majorHAnsi" w:eastAsiaTheme="majorEastAsia" w:hAnsiTheme="majorHAnsi" w:cstheme="majorBidi"/>
      <w:caps/>
      <w:noProof/>
      <w:color w:val="009AA6" w:themeColor="text2"/>
      <w:spacing w:val="-15"/>
      <w:sz w:val="72"/>
      <w:szCs w:val="72"/>
    </w:rPr>
  </w:style>
  <w:style w:type="paragraph" w:styleId="Caption">
    <w:name w:val="caption"/>
    <w:basedOn w:val="Normal"/>
    <w:next w:val="Normal"/>
    <w:uiPriority w:val="35"/>
    <w:semiHidden/>
    <w:unhideWhenUsed/>
    <w:qFormat/>
    <w:rsid w:val="00E157FA"/>
    <w:pPr>
      <w:spacing w:line="240" w:lineRule="auto"/>
    </w:pPr>
    <w:rPr>
      <w:b/>
      <w:bCs/>
      <w:smallCaps/>
      <w:color w:val="00E9FC" w:themeColor="text2" w:themeTint="BF"/>
    </w:rPr>
  </w:style>
  <w:style w:type="paragraph" w:styleId="Subtitle">
    <w:name w:val="Subtitle"/>
    <w:basedOn w:val="Normal"/>
    <w:next w:val="Normal"/>
    <w:link w:val="SubtitleChar"/>
    <w:uiPriority w:val="11"/>
    <w:qFormat/>
    <w:rsid w:val="00792FD5"/>
    <w:rPr>
      <w:rFonts w:asciiTheme="majorHAnsi" w:eastAsiaTheme="majorEastAsia" w:hAnsiTheme="majorHAnsi" w:cstheme="majorBidi"/>
      <w:noProof/>
      <w:color w:val="000000" w:themeColor="text1"/>
      <w:sz w:val="32"/>
      <w:szCs w:val="32"/>
      <w14:textFill>
        <w14:solidFill>
          <w14:schemeClr w14:val="tx1">
            <w14:lumMod w14:val="50000"/>
            <w14:lumOff w14:val="50000"/>
            <w14:lumMod w14:val="75000"/>
            <w14:lumOff w14:val="25000"/>
          </w14:schemeClr>
        </w14:solidFill>
      </w14:textFill>
    </w:rPr>
  </w:style>
  <w:style w:type="character" w:customStyle="1" w:styleId="SubtitleChar">
    <w:name w:val="Subtitle Char"/>
    <w:basedOn w:val="DefaultParagraphFont"/>
    <w:link w:val="Subtitle"/>
    <w:uiPriority w:val="11"/>
    <w:rsid w:val="00792FD5"/>
    <w:rPr>
      <w:rFonts w:asciiTheme="majorHAnsi" w:eastAsiaTheme="majorEastAsia" w:hAnsiTheme="majorHAnsi" w:cstheme="majorBidi"/>
      <w:noProof/>
      <w:color w:val="7F7F7F" w:themeColor="text1" w:themeTint="80"/>
      <w:sz w:val="32"/>
      <w:szCs w:val="32"/>
    </w:rPr>
  </w:style>
  <w:style w:type="character" w:styleId="Strong">
    <w:name w:val="Strong"/>
    <w:basedOn w:val="DefaultParagraphFont"/>
    <w:uiPriority w:val="22"/>
    <w:qFormat/>
    <w:rsid w:val="00E157FA"/>
    <w:rPr>
      <w:b/>
      <w:bCs/>
    </w:rPr>
  </w:style>
  <w:style w:type="character" w:styleId="Emphasis">
    <w:name w:val="Emphasis"/>
    <w:basedOn w:val="DefaultParagraphFont"/>
    <w:uiPriority w:val="20"/>
    <w:qFormat/>
    <w:rsid w:val="00E157FA"/>
    <w:rPr>
      <w:i/>
      <w:iCs/>
    </w:rPr>
  </w:style>
  <w:style w:type="paragraph" w:styleId="NoSpacing">
    <w:name w:val="No Spacing"/>
    <w:basedOn w:val="Normal"/>
    <w:link w:val="NoSpacingChar"/>
    <w:uiPriority w:val="1"/>
    <w:qFormat/>
    <w:rsid w:val="0050059F"/>
  </w:style>
  <w:style w:type="paragraph" w:styleId="Quote">
    <w:name w:val="Quote"/>
    <w:basedOn w:val="Normal"/>
    <w:next w:val="Normal"/>
    <w:link w:val="QuoteChar"/>
    <w:uiPriority w:val="29"/>
    <w:qFormat/>
    <w:rsid w:val="00E157FA"/>
    <w:pPr>
      <w:spacing w:before="120" w:after="120"/>
      <w:ind w:left="720"/>
    </w:pPr>
    <w:rPr>
      <w:color w:val="00E9FC" w:themeColor="text2" w:themeTint="BF"/>
      <w:sz w:val="24"/>
      <w:szCs w:val="24"/>
    </w:rPr>
  </w:style>
  <w:style w:type="character" w:customStyle="1" w:styleId="QuoteChar">
    <w:name w:val="Quote Char"/>
    <w:basedOn w:val="DefaultParagraphFont"/>
    <w:link w:val="Quote"/>
    <w:uiPriority w:val="29"/>
    <w:rsid w:val="00E157FA"/>
    <w:rPr>
      <w:color w:val="009AA6" w:themeColor="text2"/>
      <w:sz w:val="24"/>
      <w:szCs w:val="24"/>
    </w:rPr>
  </w:style>
  <w:style w:type="paragraph" w:styleId="IntenseQuote">
    <w:name w:val="Intense Quote"/>
    <w:basedOn w:val="Normal"/>
    <w:next w:val="Normal"/>
    <w:link w:val="IntenseQuoteChar"/>
    <w:uiPriority w:val="30"/>
    <w:qFormat/>
    <w:rsid w:val="00E157FA"/>
    <w:pPr>
      <w:spacing w:before="100" w:beforeAutospacing="1" w:after="240" w:line="240" w:lineRule="auto"/>
      <w:ind w:left="720"/>
      <w:jc w:val="center"/>
    </w:pPr>
    <w:rPr>
      <w:rFonts w:asciiTheme="majorHAnsi" w:eastAsiaTheme="majorEastAsia" w:hAnsiTheme="majorHAnsi" w:cstheme="majorBidi"/>
      <w:color w:val="00E9FC" w:themeColor="text2" w:themeTint="BF"/>
      <w:spacing w:val="-6"/>
      <w:sz w:val="32"/>
      <w:szCs w:val="32"/>
    </w:rPr>
  </w:style>
  <w:style w:type="character" w:customStyle="1" w:styleId="IntenseQuoteChar">
    <w:name w:val="Intense Quote Char"/>
    <w:basedOn w:val="DefaultParagraphFont"/>
    <w:link w:val="IntenseQuote"/>
    <w:uiPriority w:val="30"/>
    <w:rsid w:val="00E157FA"/>
    <w:rPr>
      <w:rFonts w:asciiTheme="majorHAnsi" w:eastAsiaTheme="majorEastAsia" w:hAnsiTheme="majorHAnsi" w:cstheme="majorBidi"/>
      <w:color w:val="009AA6" w:themeColor="text2"/>
      <w:spacing w:val="-6"/>
      <w:sz w:val="32"/>
      <w:szCs w:val="32"/>
    </w:rPr>
  </w:style>
  <w:style w:type="character" w:styleId="SubtleEmphasis">
    <w:name w:val="Subtle Emphasis"/>
    <w:basedOn w:val="DefaultParagraphFont"/>
    <w:uiPriority w:val="19"/>
    <w:qFormat/>
    <w:rsid w:val="00E157FA"/>
    <w:rPr>
      <w:i/>
      <w:iCs/>
      <w:color w:val="595959" w:themeColor="text1" w:themeTint="A6"/>
    </w:rPr>
  </w:style>
  <w:style w:type="character" w:styleId="IntenseEmphasis">
    <w:name w:val="Intense Emphasis"/>
    <w:basedOn w:val="DefaultParagraphFont"/>
    <w:uiPriority w:val="21"/>
    <w:qFormat/>
    <w:rsid w:val="00E157FA"/>
    <w:rPr>
      <w:b/>
      <w:bCs/>
      <w:i/>
      <w:iCs/>
    </w:rPr>
  </w:style>
  <w:style w:type="character" w:styleId="SubtleReference">
    <w:name w:val="Subtle Reference"/>
    <w:basedOn w:val="DefaultParagraphFont"/>
    <w:uiPriority w:val="31"/>
    <w:qFormat/>
    <w:rsid w:val="00E157F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157FA"/>
    <w:rPr>
      <w:b/>
      <w:bCs/>
      <w:smallCaps/>
      <w:color w:val="009AA6" w:themeColor="text2"/>
      <w:u w:val="single"/>
    </w:rPr>
  </w:style>
  <w:style w:type="character" w:styleId="BookTitle">
    <w:name w:val="Book Title"/>
    <w:basedOn w:val="DefaultParagraphFont"/>
    <w:uiPriority w:val="33"/>
    <w:qFormat/>
    <w:rsid w:val="00E157FA"/>
    <w:rPr>
      <w:b/>
      <w:bCs/>
      <w:smallCaps/>
      <w:spacing w:val="10"/>
    </w:rPr>
  </w:style>
  <w:style w:type="paragraph" w:styleId="TOCHeading">
    <w:name w:val="TOC Heading"/>
    <w:basedOn w:val="Heading1"/>
    <w:next w:val="Normal"/>
    <w:uiPriority w:val="39"/>
    <w:semiHidden/>
    <w:unhideWhenUsed/>
    <w:qFormat/>
    <w:rsid w:val="00E157FA"/>
    <w:pPr>
      <w:outlineLvl w:val="9"/>
    </w:pPr>
  </w:style>
  <w:style w:type="character" w:customStyle="1" w:styleId="NoSpacingChar">
    <w:name w:val="No Spacing Char"/>
    <w:basedOn w:val="DefaultParagraphFont"/>
    <w:link w:val="NoSpacing"/>
    <w:uiPriority w:val="1"/>
    <w:rsid w:val="0050059F"/>
    <w:rPr>
      <w:color w:val="404040" w:themeColor="text1" w:themeTint="BF"/>
      <w:sz w:val="20"/>
      <w:szCs w:val="20"/>
    </w:rPr>
  </w:style>
  <w:style w:type="paragraph" w:styleId="NormalWeb">
    <w:name w:val="Normal (Web)"/>
    <w:basedOn w:val="Normal"/>
    <w:uiPriority w:val="99"/>
    <w:semiHidden/>
    <w:unhideWhenUsed/>
    <w:rsid w:val="001719A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9324DA"/>
    <w:pPr>
      <w:spacing w:after="0" w:line="240" w:lineRule="auto"/>
    </w:pPr>
    <w:rPr>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37">
      <w:bodyDiv w:val="1"/>
      <w:marLeft w:val="0"/>
      <w:marRight w:val="0"/>
      <w:marTop w:val="0"/>
      <w:marBottom w:val="0"/>
      <w:divBdr>
        <w:top w:val="none" w:sz="0" w:space="0" w:color="auto"/>
        <w:left w:val="none" w:sz="0" w:space="0" w:color="auto"/>
        <w:bottom w:val="none" w:sz="0" w:space="0" w:color="auto"/>
        <w:right w:val="none" w:sz="0" w:space="0" w:color="auto"/>
      </w:divBdr>
    </w:div>
    <w:div w:id="172572871">
      <w:bodyDiv w:val="1"/>
      <w:marLeft w:val="0"/>
      <w:marRight w:val="0"/>
      <w:marTop w:val="0"/>
      <w:marBottom w:val="0"/>
      <w:divBdr>
        <w:top w:val="none" w:sz="0" w:space="0" w:color="auto"/>
        <w:left w:val="none" w:sz="0" w:space="0" w:color="auto"/>
        <w:bottom w:val="none" w:sz="0" w:space="0" w:color="auto"/>
        <w:right w:val="none" w:sz="0" w:space="0" w:color="auto"/>
      </w:divBdr>
    </w:div>
    <w:div w:id="185558310">
      <w:bodyDiv w:val="1"/>
      <w:marLeft w:val="0"/>
      <w:marRight w:val="0"/>
      <w:marTop w:val="0"/>
      <w:marBottom w:val="0"/>
      <w:divBdr>
        <w:top w:val="none" w:sz="0" w:space="0" w:color="auto"/>
        <w:left w:val="none" w:sz="0" w:space="0" w:color="auto"/>
        <w:bottom w:val="none" w:sz="0" w:space="0" w:color="auto"/>
        <w:right w:val="none" w:sz="0" w:space="0" w:color="auto"/>
      </w:divBdr>
    </w:div>
    <w:div w:id="501631244">
      <w:bodyDiv w:val="1"/>
      <w:marLeft w:val="0"/>
      <w:marRight w:val="0"/>
      <w:marTop w:val="0"/>
      <w:marBottom w:val="0"/>
      <w:divBdr>
        <w:top w:val="none" w:sz="0" w:space="0" w:color="auto"/>
        <w:left w:val="none" w:sz="0" w:space="0" w:color="auto"/>
        <w:bottom w:val="none" w:sz="0" w:space="0" w:color="auto"/>
        <w:right w:val="none" w:sz="0" w:space="0" w:color="auto"/>
      </w:divBdr>
    </w:div>
    <w:div w:id="637144749">
      <w:bodyDiv w:val="1"/>
      <w:marLeft w:val="0"/>
      <w:marRight w:val="0"/>
      <w:marTop w:val="0"/>
      <w:marBottom w:val="0"/>
      <w:divBdr>
        <w:top w:val="none" w:sz="0" w:space="0" w:color="auto"/>
        <w:left w:val="none" w:sz="0" w:space="0" w:color="auto"/>
        <w:bottom w:val="none" w:sz="0" w:space="0" w:color="auto"/>
        <w:right w:val="none" w:sz="0" w:space="0" w:color="auto"/>
      </w:divBdr>
    </w:div>
    <w:div w:id="648097682">
      <w:bodyDiv w:val="1"/>
      <w:marLeft w:val="0"/>
      <w:marRight w:val="0"/>
      <w:marTop w:val="0"/>
      <w:marBottom w:val="0"/>
      <w:divBdr>
        <w:top w:val="none" w:sz="0" w:space="0" w:color="auto"/>
        <w:left w:val="none" w:sz="0" w:space="0" w:color="auto"/>
        <w:bottom w:val="none" w:sz="0" w:space="0" w:color="auto"/>
        <w:right w:val="none" w:sz="0" w:space="0" w:color="auto"/>
      </w:divBdr>
    </w:div>
    <w:div w:id="684020268">
      <w:bodyDiv w:val="1"/>
      <w:marLeft w:val="0"/>
      <w:marRight w:val="0"/>
      <w:marTop w:val="0"/>
      <w:marBottom w:val="0"/>
      <w:divBdr>
        <w:top w:val="none" w:sz="0" w:space="0" w:color="auto"/>
        <w:left w:val="none" w:sz="0" w:space="0" w:color="auto"/>
        <w:bottom w:val="none" w:sz="0" w:space="0" w:color="auto"/>
        <w:right w:val="none" w:sz="0" w:space="0" w:color="auto"/>
      </w:divBdr>
    </w:div>
    <w:div w:id="930508197">
      <w:bodyDiv w:val="1"/>
      <w:marLeft w:val="0"/>
      <w:marRight w:val="0"/>
      <w:marTop w:val="0"/>
      <w:marBottom w:val="0"/>
      <w:divBdr>
        <w:top w:val="none" w:sz="0" w:space="0" w:color="auto"/>
        <w:left w:val="none" w:sz="0" w:space="0" w:color="auto"/>
        <w:bottom w:val="none" w:sz="0" w:space="0" w:color="auto"/>
        <w:right w:val="none" w:sz="0" w:space="0" w:color="auto"/>
      </w:divBdr>
    </w:div>
    <w:div w:id="1105228526">
      <w:bodyDiv w:val="1"/>
      <w:marLeft w:val="0"/>
      <w:marRight w:val="0"/>
      <w:marTop w:val="0"/>
      <w:marBottom w:val="0"/>
      <w:divBdr>
        <w:top w:val="none" w:sz="0" w:space="0" w:color="auto"/>
        <w:left w:val="none" w:sz="0" w:space="0" w:color="auto"/>
        <w:bottom w:val="none" w:sz="0" w:space="0" w:color="auto"/>
        <w:right w:val="none" w:sz="0" w:space="0" w:color="auto"/>
      </w:divBdr>
    </w:div>
    <w:div w:id="1139496618">
      <w:bodyDiv w:val="1"/>
      <w:marLeft w:val="0"/>
      <w:marRight w:val="0"/>
      <w:marTop w:val="0"/>
      <w:marBottom w:val="0"/>
      <w:divBdr>
        <w:top w:val="none" w:sz="0" w:space="0" w:color="auto"/>
        <w:left w:val="none" w:sz="0" w:space="0" w:color="auto"/>
        <w:bottom w:val="none" w:sz="0" w:space="0" w:color="auto"/>
        <w:right w:val="none" w:sz="0" w:space="0" w:color="auto"/>
      </w:divBdr>
    </w:div>
    <w:div w:id="1262836246">
      <w:bodyDiv w:val="1"/>
      <w:marLeft w:val="0"/>
      <w:marRight w:val="0"/>
      <w:marTop w:val="0"/>
      <w:marBottom w:val="0"/>
      <w:divBdr>
        <w:top w:val="none" w:sz="0" w:space="0" w:color="auto"/>
        <w:left w:val="none" w:sz="0" w:space="0" w:color="auto"/>
        <w:bottom w:val="none" w:sz="0" w:space="0" w:color="auto"/>
        <w:right w:val="none" w:sz="0" w:space="0" w:color="auto"/>
      </w:divBdr>
    </w:div>
    <w:div w:id="1377195419">
      <w:bodyDiv w:val="1"/>
      <w:marLeft w:val="0"/>
      <w:marRight w:val="0"/>
      <w:marTop w:val="0"/>
      <w:marBottom w:val="0"/>
      <w:divBdr>
        <w:top w:val="none" w:sz="0" w:space="0" w:color="auto"/>
        <w:left w:val="none" w:sz="0" w:space="0" w:color="auto"/>
        <w:bottom w:val="none" w:sz="0" w:space="0" w:color="auto"/>
        <w:right w:val="none" w:sz="0" w:space="0" w:color="auto"/>
      </w:divBdr>
    </w:div>
    <w:div w:id="1661346079">
      <w:bodyDiv w:val="1"/>
      <w:marLeft w:val="0"/>
      <w:marRight w:val="0"/>
      <w:marTop w:val="0"/>
      <w:marBottom w:val="0"/>
      <w:divBdr>
        <w:top w:val="none" w:sz="0" w:space="0" w:color="auto"/>
        <w:left w:val="none" w:sz="0" w:space="0" w:color="auto"/>
        <w:bottom w:val="none" w:sz="0" w:space="0" w:color="auto"/>
        <w:right w:val="none" w:sz="0" w:space="0" w:color="auto"/>
      </w:divBdr>
    </w:div>
    <w:div w:id="1711882958">
      <w:bodyDiv w:val="1"/>
      <w:marLeft w:val="0"/>
      <w:marRight w:val="0"/>
      <w:marTop w:val="0"/>
      <w:marBottom w:val="0"/>
      <w:divBdr>
        <w:top w:val="none" w:sz="0" w:space="0" w:color="auto"/>
        <w:left w:val="none" w:sz="0" w:space="0" w:color="auto"/>
        <w:bottom w:val="none" w:sz="0" w:space="0" w:color="auto"/>
        <w:right w:val="none" w:sz="0" w:space="0" w:color="auto"/>
      </w:divBdr>
      <w:divsChild>
        <w:div w:id="1499073094">
          <w:marLeft w:val="0"/>
          <w:marRight w:val="0"/>
          <w:marTop w:val="0"/>
          <w:marBottom w:val="75"/>
          <w:divBdr>
            <w:top w:val="single" w:sz="6" w:space="0" w:color="EDEDED"/>
            <w:left w:val="single" w:sz="6" w:space="0" w:color="EDEDED"/>
            <w:bottom w:val="single" w:sz="6" w:space="0" w:color="EDEDED"/>
            <w:right w:val="single" w:sz="6" w:space="0" w:color="EDEDED"/>
          </w:divBdr>
          <w:divsChild>
            <w:div w:id="1917980979">
              <w:marLeft w:val="0"/>
              <w:marRight w:val="0"/>
              <w:marTop w:val="0"/>
              <w:marBottom w:val="0"/>
              <w:divBdr>
                <w:top w:val="none" w:sz="0" w:space="0" w:color="auto"/>
                <w:left w:val="none" w:sz="0" w:space="0" w:color="auto"/>
                <w:bottom w:val="none" w:sz="0" w:space="0" w:color="auto"/>
                <w:right w:val="none" w:sz="0" w:space="0" w:color="auto"/>
              </w:divBdr>
              <w:divsChild>
                <w:div w:id="17691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xtGenEd">
  <a:themeElements>
    <a:clrScheme name="CTE In Colorado">
      <a:dk1>
        <a:srgbClr val="000000"/>
      </a:dk1>
      <a:lt1>
        <a:sysClr val="window" lastClr="FFFFFF"/>
      </a:lt1>
      <a:dk2>
        <a:srgbClr val="009AA6"/>
      </a:dk2>
      <a:lt2>
        <a:srgbClr val="FFF39D"/>
      </a:lt2>
      <a:accent1>
        <a:srgbClr val="FF6D14"/>
      </a:accent1>
      <a:accent2>
        <a:srgbClr val="009AA6"/>
      </a:accent2>
      <a:accent3>
        <a:srgbClr val="7AB800"/>
      </a:accent3>
      <a:accent4>
        <a:srgbClr val="000000"/>
      </a:accent4>
      <a:accent5>
        <a:srgbClr val="FFFFFF"/>
      </a:accent5>
      <a:accent6>
        <a:srgbClr val="7F7F7F"/>
      </a:accent6>
      <a:hlink>
        <a:srgbClr val="7AB800"/>
      </a:hlink>
      <a:folHlink>
        <a:srgbClr val="009AA6"/>
      </a:folHlink>
    </a:clrScheme>
    <a:fontScheme name="Colorado CTE - Myriad Pro">
      <a:majorFont>
        <a:latin typeface="Myriad Pro"/>
        <a:ea typeface=""/>
        <a:cs typeface=""/>
      </a:majorFont>
      <a:minorFont>
        <a:latin typeface="Myriad Pro"/>
        <a:ea typeface=""/>
        <a:cs typeface=""/>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extLst>
    <a:ext uri="{05A4C25C-085E-4340-85A3-A5531E510DB2}">
      <thm15:themeFamily xmlns:thm15="http://schemas.microsoft.com/office/thememl/2012/main" name="NextGenEd" id="{5265EFA7-E2AA-4D1E-9E86-0A809106EA96}" vid="{E11D9B81-E2AE-4A8C-A130-88C2381A2A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VISION: Colorado Career &amp; Technical Education (CTE) leverages workforce and education systems so that each learner has quality CTE experiences leading to lifelong career success.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78CC8E-D70C-44DB-8263-B8FB112A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2019-2024 strategic plan</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2019-2024 strategic plan</dc:title>
  <dc:subject>Colorado Career Technical Education</dc:subject>
  <dc:creator>Karl Eggers</dc:creator>
  <cp:keywords/>
  <dc:description/>
  <cp:lastModifiedBy>Crownover, Victoria (CCCS)</cp:lastModifiedBy>
  <cp:revision>4</cp:revision>
  <cp:lastPrinted>2019-05-17T05:49:00Z</cp:lastPrinted>
  <dcterms:created xsi:type="dcterms:W3CDTF">2024-01-13T00:31:00Z</dcterms:created>
  <dcterms:modified xsi:type="dcterms:W3CDTF">2024-01-13T00:45:00Z</dcterms:modified>
</cp:coreProperties>
</file>